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4B4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关于新增和补充申报《2026年济南市绿色</w:t>
      </w:r>
    </w:p>
    <w:p w14:paraId="53F435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低碳技术成果目录》的通知</w:t>
      </w:r>
    </w:p>
    <w:p w14:paraId="0B70BF21">
      <w:pPr>
        <w:snapToGrid w:val="0"/>
        <w:spacing w:line="540" w:lineRule="exact"/>
        <w:ind w:left="566" w:hanging="566" w:hangingChars="177"/>
        <w:outlineLvl w:val="0"/>
        <w:rPr>
          <w:rFonts w:eastAsia="黑体"/>
          <w:szCs w:val="32"/>
        </w:rPr>
      </w:pPr>
    </w:p>
    <w:p w14:paraId="77BD4C6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cs="Times New Roman"/>
          <w:szCs w:val="32"/>
        </w:rPr>
      </w:pPr>
      <w:r>
        <w:rPr>
          <w:rFonts w:hint="eastAsia" w:ascii="Times New Roman" w:hAnsi="Times New Roman" w:eastAsia="仿宋_GB2312" w:cs="Times New Roman"/>
          <w:szCs w:val="32"/>
        </w:rPr>
        <w:t>各区县（含功能区）科技、生态环境主管部门，有关单位：</w:t>
      </w:r>
    </w:p>
    <w:p w14:paraId="40822B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为进一步强化科技创新在绿色低碳领域的支撑作用，加快绿色低碳先进科技成果转化与推广应用，助力实现碳达峰碳中和目标，推动我省生态环保产业高质量发展，前期已经面向全市公开征集17项技术成果并推荐至省科技厅。经研究，现面向全市公开补充征集《2026年济南市绿色低碳技术成果目录》（以下简称“市目录”），现将有关事项通知如下。</w:t>
      </w:r>
    </w:p>
    <w:p w14:paraId="55F14E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Cs w:val="32"/>
        </w:rPr>
      </w:pPr>
      <w:r>
        <w:rPr>
          <w:rFonts w:hint="eastAsia" w:ascii="Times New Roman" w:hAnsi="Times New Roman" w:eastAsia="黑体" w:cs="Times New Roman"/>
          <w:szCs w:val="32"/>
        </w:rPr>
        <w:t>一、申报条件</w:t>
      </w:r>
    </w:p>
    <w:p w14:paraId="7A1017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（一）方向性。符合国家已经颁布的产业政策，符合当前和今后一段时期省市绿色低碳发展的重点需求，生态环境污染防治效果明显。</w:t>
      </w:r>
    </w:p>
    <w:p w14:paraId="429BBB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（二）成熟性。已经通过工程示范或用户使用等方式得到应用，并进行了第三方监测或检验，具备较好的推广前景。</w:t>
      </w:r>
    </w:p>
    <w:p w14:paraId="235EF2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（三）先进性。技术知识产权明晰，技术风险可控，技术经济性突出。</w:t>
      </w:r>
    </w:p>
    <w:p w14:paraId="377F5B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（四）适用性。结合我市绿色低碳发展实际需求，重点征集水治理、大气治理、碳减排、土壤及地下水风险管控与修复、固废利用处置以及其他环境领域的先进适用技术成果（技术领域及技术类型见附件1）。</w:t>
      </w:r>
    </w:p>
    <w:p w14:paraId="25066C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Cs w:val="32"/>
        </w:rPr>
      </w:pPr>
      <w:r>
        <w:rPr>
          <w:rFonts w:hint="eastAsia" w:ascii="Times New Roman" w:hAnsi="Times New Roman" w:eastAsia="黑体" w:cs="Times New Roman"/>
          <w:szCs w:val="32"/>
        </w:rPr>
        <w:t>二、材料要求</w:t>
      </w:r>
    </w:p>
    <w:p w14:paraId="0AF11F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（一）组织申报。请各申报单位填写《绿色低碳技术成果申报表》（附件2</w:t>
      </w:r>
      <w:r>
        <w:rPr>
          <w:rFonts w:hint="eastAsia" w:eastAsia="仿宋_GB2312" w:cs="Times New Roman"/>
          <w:szCs w:val="32"/>
          <w:lang w:eastAsia="zh-CN"/>
        </w:rPr>
        <w:t>）</w:t>
      </w:r>
      <w:r>
        <w:rPr>
          <w:rFonts w:hint="eastAsia" w:ascii="Times New Roman" w:hAnsi="Times New Roman" w:eastAsia="仿宋_GB2312" w:cs="Times New Roman"/>
          <w:szCs w:val="32"/>
        </w:rPr>
        <w:t>和《绿色低碳技术成果报告》（附件3</w:t>
      </w:r>
      <w:r>
        <w:rPr>
          <w:rFonts w:hint="eastAsia" w:eastAsia="仿宋_GB2312" w:cs="Times New Roman"/>
          <w:szCs w:val="32"/>
          <w:lang w:eastAsia="zh-CN"/>
        </w:rPr>
        <w:t>）</w:t>
      </w:r>
      <w:r>
        <w:rPr>
          <w:rFonts w:hint="eastAsia" w:ascii="Times New Roman" w:hAnsi="Times New Roman" w:eastAsia="仿宋_GB2312" w:cs="Times New Roman"/>
          <w:szCs w:val="32"/>
        </w:rPr>
        <w:t>，提供2-3张技术成果设备、应用场景等照片（JPG格式，单张照片2M以上、分辨率不小于300dpi，附带照片的文字说明），并与其他证明材料装订成册，加盖申报单位公章。</w:t>
      </w:r>
    </w:p>
    <w:p w14:paraId="6533DD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二）审核把关。请各主管部门对申报材料进行审核把关，保证技术内容真实、严谨、准确，避免重复申报（对于往年报送并收入目录的技术成果确有技术突破并实现产业化提升的可择优再次推荐）。对于不符合“绿色门槛”制度，涉及行政处罚、知识产权纠纷的予以一票否决。</w:t>
      </w:r>
      <w:bookmarkStart w:id="6" w:name="_GoBack"/>
      <w:bookmarkEnd w:id="6"/>
    </w:p>
    <w:p w14:paraId="3DFBAD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（三）推荐上报。请各主管部门填写《绿色低碳技术成果推荐表》（附件4</w:t>
      </w:r>
      <w:r>
        <w:rPr>
          <w:rFonts w:hint="eastAsia" w:eastAsia="仿宋_GB2312" w:cs="Times New Roman"/>
          <w:szCs w:val="32"/>
          <w:lang w:eastAsia="zh-CN"/>
        </w:rPr>
        <w:t>）</w:t>
      </w:r>
      <w:r>
        <w:rPr>
          <w:rFonts w:hint="eastAsia" w:ascii="Times New Roman" w:hAnsi="Times New Roman" w:eastAsia="仿宋_GB2312" w:cs="Times New Roman"/>
          <w:szCs w:val="32"/>
        </w:rPr>
        <w:t>，报送材料时请确定申报单位联系人及联系方式（指导目录将公开技术拥有方联系人及联系方式）。</w:t>
      </w:r>
    </w:p>
    <w:p w14:paraId="25D359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Cs w:val="32"/>
        </w:rPr>
      </w:pPr>
      <w:r>
        <w:rPr>
          <w:rFonts w:hint="eastAsia" w:ascii="Times New Roman" w:hAnsi="Times New Roman" w:eastAsia="黑体" w:cs="Times New Roman"/>
          <w:szCs w:val="32"/>
        </w:rPr>
        <w:t>三、其他事项</w:t>
      </w:r>
    </w:p>
    <w:p w14:paraId="562338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（一）各县区科技主管部门做为指导目录技术成果的主管部门，负责汇总和推荐。不接受企业、院所等单位单独报送。</w:t>
      </w:r>
    </w:p>
    <w:p w14:paraId="09C02F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（二）若无新增和补充技术的、前期已经提交过资料单位，不要重复提交。</w:t>
      </w:r>
    </w:p>
    <w:p w14:paraId="66EF5C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（三）请各推荐单位请于10月30日前将申报表（加盖申报单位公章）、成果报告（加盖申报单位公章）、推荐表（加盖主管部门公章），相关纸质材料1份和电子版材料报送以下联系方式。</w:t>
      </w:r>
    </w:p>
    <w:p w14:paraId="115078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1.联系人及联系方式：</w:t>
      </w:r>
    </w:p>
    <w:p w14:paraId="6EDA46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市科技局社会发展与农村科技处</w:t>
      </w:r>
      <w:r>
        <w:rPr>
          <w:rFonts w:hint="eastAsia" w:ascii="Times New Roman" w:hAnsi="Times New Roman" w:eastAsia="仿宋_GB2312" w:cs="Times New Roman"/>
          <w:szCs w:val="32"/>
          <w:lang w:val="en-US" w:eastAsia="zh-CN"/>
        </w:rPr>
        <w:t xml:space="preserve">  </w:t>
      </w:r>
      <w:r>
        <w:rPr>
          <w:rFonts w:hint="eastAsia" w:ascii="Times New Roman" w:hAnsi="Times New Roman" w:eastAsia="仿宋_GB2312" w:cs="Times New Roman"/>
          <w:szCs w:val="32"/>
        </w:rPr>
        <w:t>龙治宇</w:t>
      </w:r>
      <w:r>
        <w:rPr>
          <w:rFonts w:hint="eastAsia" w:ascii="Times New Roman" w:hAnsi="Times New Roman" w:eastAsia="仿宋_GB2312" w:cs="Times New Roman"/>
          <w:szCs w:val="32"/>
          <w:lang w:val="en-US" w:eastAsia="zh-CN"/>
        </w:rPr>
        <w:t xml:space="preserve">  </w:t>
      </w:r>
      <w:r>
        <w:rPr>
          <w:rFonts w:hint="eastAsia" w:ascii="Times New Roman" w:hAnsi="Times New Roman" w:eastAsia="仿宋_GB2312" w:cs="Times New Roman"/>
          <w:szCs w:val="32"/>
        </w:rPr>
        <w:t>51708811</w:t>
      </w:r>
    </w:p>
    <w:p w14:paraId="37995E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2.电子邮箱：kjjshfzkjc@jn.shandong.cn</w:t>
      </w:r>
    </w:p>
    <w:p w14:paraId="14A741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3.邮寄地址：济南市历下区龙鼎大道1号龙奥大厦D526</w:t>
      </w:r>
    </w:p>
    <w:p w14:paraId="4C0AD6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p>
    <w:p w14:paraId="223226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t>附件：</w:t>
      </w:r>
      <w:r>
        <w:rPr>
          <w:rFonts w:hint="eastAsia" w:ascii="Times New Roman" w:hAnsi="Times New Roman" w:eastAsia="仿宋_GB2312" w:cs="Times New Roman"/>
          <w:szCs w:val="32"/>
        </w:rPr>
        <w:fldChar w:fldCharType="begin"/>
      </w:r>
      <w:r>
        <w:rPr>
          <w:rFonts w:hint="eastAsia" w:ascii="Times New Roman" w:hAnsi="Times New Roman" w:eastAsia="仿宋_GB2312" w:cs="Times New Roman"/>
          <w:szCs w:val="32"/>
        </w:rPr>
        <w:instrText xml:space="preserve"> HYPERLINK "https://jnsti.jinan.gov.cn/api-gateway/jpaas-web-server/front/document/download?fileUrl=YW5UzzlvCwcM/NHHX/tT6GzZdY0H1Rkls8/PFEOO9t3EyiGqYgnTzK5Ozs9PljxeYdzf3FV5BfDVKUaLMIIQcGZksFB9JFWmr8ZQXcUtVEdothO+PKmQGTWdejxZPtaZU0ZiLg4tuT2F6odiMonvUQD439veWhCtDOV5qCCEMJ8=&amp;fileName=1.%E7%BB%BF%E8%89%B2%E4%BD%8E%E7%A2%B3%E6%8A%80%E6%9C%AF%E9%A2%86%E5%9F%9F%E5%8F%8A%E6%8A%80%E6%9C%AF%E7%B1%BB%E5%9E%8B.docx" </w:instrText>
      </w:r>
      <w:r>
        <w:rPr>
          <w:rFonts w:hint="eastAsia" w:ascii="Times New Roman" w:hAnsi="Times New Roman" w:eastAsia="仿宋_GB2312" w:cs="Times New Roman"/>
          <w:szCs w:val="32"/>
        </w:rPr>
        <w:fldChar w:fldCharType="separate"/>
      </w:r>
      <w:r>
        <w:rPr>
          <w:rFonts w:hint="eastAsia" w:ascii="Times New Roman" w:hAnsi="Times New Roman" w:eastAsia="仿宋_GB2312" w:cs="Times New Roman"/>
          <w:szCs w:val="32"/>
        </w:rPr>
        <w:t>1.绿色低碳技术领域及技术类型.docx</w:t>
      </w:r>
      <w:r>
        <w:rPr>
          <w:rFonts w:hint="eastAsia" w:ascii="Times New Roman" w:hAnsi="Times New Roman" w:eastAsia="仿宋_GB2312" w:cs="Times New Roman"/>
          <w:szCs w:val="32"/>
        </w:rPr>
        <w:fldChar w:fldCharType="end"/>
      </w:r>
    </w:p>
    <w:p w14:paraId="3E119001">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fldChar w:fldCharType="begin"/>
      </w:r>
      <w:r>
        <w:rPr>
          <w:rFonts w:hint="eastAsia" w:ascii="Times New Roman" w:hAnsi="Times New Roman" w:eastAsia="仿宋_GB2312" w:cs="Times New Roman"/>
          <w:szCs w:val="32"/>
        </w:rPr>
        <w:instrText xml:space="preserve"> HYPERLINK "https://jnsti.jinan.gov.cn/api-gateway/jpaas-web-server/front/document/download?fileUrl=YW5UzzlvCwcM/NHHX/tT6GzZdY0H1Rkls8/PFEOO9t228YsZpVc+i9xjS6khi9z8vTcubZiLxDgZqG75YpuKFwgrSMXK68zKsSWJQDQiHc25GxR9jiOeQRYifTmN5HO0/rGeZ1CgO9FDrvPZdU2yr+B32ZX+C/UyqHcDzWeAm7Y=&amp;fileName=2.%E7%BB%BF%E8%89%B2%E4%BD%8E%E7%A2%B3%E6%8A%80%E6%9C%AF%E6%88%90%E6%9E%9C%E7%94%B3%E6%8A%A5%E8%A1%A8.docx" </w:instrText>
      </w:r>
      <w:r>
        <w:rPr>
          <w:rFonts w:hint="eastAsia" w:ascii="Times New Roman" w:hAnsi="Times New Roman" w:eastAsia="仿宋_GB2312" w:cs="Times New Roman"/>
          <w:szCs w:val="32"/>
        </w:rPr>
        <w:fldChar w:fldCharType="separate"/>
      </w:r>
      <w:r>
        <w:rPr>
          <w:rFonts w:hint="eastAsia" w:ascii="Times New Roman" w:hAnsi="Times New Roman" w:eastAsia="仿宋_GB2312" w:cs="Times New Roman"/>
          <w:szCs w:val="32"/>
        </w:rPr>
        <w:t>2.绿色低碳技术成果申报表.docx</w:t>
      </w:r>
      <w:r>
        <w:rPr>
          <w:rFonts w:hint="eastAsia" w:ascii="Times New Roman" w:hAnsi="Times New Roman" w:eastAsia="仿宋_GB2312" w:cs="Times New Roman"/>
          <w:szCs w:val="32"/>
        </w:rPr>
        <w:fldChar w:fldCharType="end"/>
      </w:r>
    </w:p>
    <w:p w14:paraId="7295C9CE">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fldChar w:fldCharType="begin"/>
      </w:r>
      <w:r>
        <w:rPr>
          <w:rFonts w:hint="eastAsia" w:ascii="Times New Roman" w:hAnsi="Times New Roman" w:eastAsia="仿宋_GB2312" w:cs="Times New Roman"/>
          <w:szCs w:val="32"/>
        </w:rPr>
        <w:instrText xml:space="preserve"> HYPERLINK "https://jnsti.jinan.gov.cn/api-gateway/jpaas-web-server/front/document/download?fileUrl=YW5UzzlvCwcM/NHHX/tT6GzZdY0H1Rkls8/PFEOO9t0uMSFrha4GRwgZ8ibLeE4AgV4lgYUTJyHRkETJxtlY/DlDFMwimnDmVPCDUkM0Gc9othO+PKmQGTWdejxZPtaZU0ZiLg4tuT2F6odiMonvUQD439veWhCtDOV5qCCEMJ8=&amp;fileName=3.%E7%BB%BF%E8%89%B2%E4%BD%8E%E7%A2%B3%E6%8A%80%E6%9C%AF%E6%88%90%E6%9E%9C%E6%8A%A5%E5%91%8A.docx" </w:instrText>
      </w:r>
      <w:r>
        <w:rPr>
          <w:rFonts w:hint="eastAsia" w:ascii="Times New Roman" w:hAnsi="Times New Roman" w:eastAsia="仿宋_GB2312" w:cs="Times New Roman"/>
          <w:szCs w:val="32"/>
        </w:rPr>
        <w:fldChar w:fldCharType="separate"/>
      </w:r>
      <w:r>
        <w:rPr>
          <w:rFonts w:hint="eastAsia" w:ascii="Times New Roman" w:hAnsi="Times New Roman" w:eastAsia="仿宋_GB2312" w:cs="Times New Roman"/>
          <w:szCs w:val="32"/>
        </w:rPr>
        <w:t>3.绿色低碳技术成果报告.docx</w:t>
      </w:r>
      <w:r>
        <w:rPr>
          <w:rFonts w:hint="eastAsia" w:ascii="Times New Roman" w:hAnsi="Times New Roman" w:eastAsia="仿宋_GB2312" w:cs="Times New Roman"/>
          <w:szCs w:val="32"/>
        </w:rPr>
        <w:fldChar w:fldCharType="end"/>
      </w:r>
    </w:p>
    <w:p w14:paraId="26254D94">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Cs w:val="32"/>
        </w:rPr>
      </w:pPr>
      <w:r>
        <w:rPr>
          <w:rFonts w:hint="eastAsia" w:ascii="Times New Roman" w:hAnsi="Times New Roman" w:eastAsia="仿宋_GB2312" w:cs="Times New Roman"/>
          <w:szCs w:val="32"/>
        </w:rPr>
        <w:fldChar w:fldCharType="begin"/>
      </w:r>
      <w:r>
        <w:rPr>
          <w:rFonts w:hint="eastAsia" w:ascii="Times New Roman" w:hAnsi="Times New Roman" w:eastAsia="仿宋_GB2312" w:cs="Times New Roman"/>
          <w:szCs w:val="32"/>
        </w:rPr>
        <w:instrText xml:space="preserve"> HYPERLINK "https://jnsti.jinan.gov.cn/api-gateway/jpaas-web-server/front/document/download?fileUrl=YW5UzzlvCwcM/NHHX/tT6GzZdY0H1Rkls8/PFEOO9t2qZZKPiFRV+pMBMWWGpfIzmbHERtTUvmd9MtvGYLcp5N6OskwhdpCQtrQJ90JJaIBothO+PKmQGTWdejxZPtaZU0ZiLg4tuT2F6odiMonvUQD439veWhCtDOV5qCCEMJ8=&amp;fileName=4.%E7%BB%BF%E8%89%B2%E4%BD%8E%E7%A2%B3%E6%8A%80%E6%9C%AF%E6%88%90%E6%9E%9C%E6%8E%A8%E8%8D%90%E8%A1%A8.docx" </w:instrText>
      </w:r>
      <w:r>
        <w:rPr>
          <w:rFonts w:hint="eastAsia" w:ascii="Times New Roman" w:hAnsi="Times New Roman" w:eastAsia="仿宋_GB2312" w:cs="Times New Roman"/>
          <w:szCs w:val="32"/>
        </w:rPr>
        <w:fldChar w:fldCharType="separate"/>
      </w:r>
      <w:r>
        <w:rPr>
          <w:rFonts w:hint="eastAsia" w:ascii="Times New Roman" w:hAnsi="Times New Roman" w:eastAsia="仿宋_GB2312" w:cs="Times New Roman"/>
          <w:szCs w:val="32"/>
        </w:rPr>
        <w:t>4.绿色低碳技术成果推荐表.docx</w:t>
      </w:r>
      <w:r>
        <w:rPr>
          <w:rFonts w:hint="eastAsia" w:ascii="Times New Roman" w:hAnsi="Times New Roman" w:eastAsia="仿宋_GB2312" w:cs="Times New Roman"/>
          <w:szCs w:val="32"/>
        </w:rPr>
        <w:fldChar w:fldCharType="end"/>
      </w:r>
    </w:p>
    <w:p w14:paraId="74FA585A">
      <w:pPr>
        <w:snapToGrid w:val="0"/>
        <w:spacing w:line="540" w:lineRule="exact"/>
        <w:outlineLvl w:val="0"/>
        <w:rPr>
          <w:rFonts w:eastAsia="黑体"/>
          <w:szCs w:val="32"/>
        </w:rPr>
      </w:pPr>
    </w:p>
    <w:p w14:paraId="3B35649E">
      <w:pPr>
        <w:snapToGrid w:val="0"/>
        <w:spacing w:line="540" w:lineRule="exact"/>
        <w:outlineLvl w:val="0"/>
        <w:rPr>
          <w:rFonts w:eastAsia="黑体"/>
          <w:szCs w:val="32"/>
        </w:rPr>
      </w:pPr>
    </w:p>
    <w:p w14:paraId="1B62781C">
      <w:pPr>
        <w:snapToGrid w:val="0"/>
        <w:spacing w:line="540" w:lineRule="exact"/>
        <w:outlineLvl w:val="0"/>
        <w:rPr>
          <w:rFonts w:eastAsia="黑体"/>
          <w:szCs w:val="32"/>
        </w:rPr>
      </w:pPr>
    </w:p>
    <w:p w14:paraId="7BE952E2">
      <w:pPr>
        <w:snapToGrid w:val="0"/>
        <w:spacing w:line="540" w:lineRule="exact"/>
        <w:outlineLvl w:val="0"/>
        <w:rPr>
          <w:rFonts w:eastAsia="黑体"/>
          <w:szCs w:val="32"/>
        </w:rPr>
      </w:pPr>
    </w:p>
    <w:p w14:paraId="6FB60C43">
      <w:pPr>
        <w:snapToGrid w:val="0"/>
        <w:spacing w:line="540" w:lineRule="exact"/>
        <w:outlineLvl w:val="0"/>
        <w:rPr>
          <w:rFonts w:eastAsia="黑体"/>
          <w:szCs w:val="32"/>
        </w:rPr>
      </w:pPr>
    </w:p>
    <w:p w14:paraId="217A2267">
      <w:pPr>
        <w:snapToGrid w:val="0"/>
        <w:spacing w:line="540" w:lineRule="exact"/>
        <w:outlineLvl w:val="0"/>
        <w:rPr>
          <w:rFonts w:eastAsia="黑体"/>
          <w:szCs w:val="32"/>
        </w:rPr>
      </w:pPr>
    </w:p>
    <w:p w14:paraId="3D1C67BF">
      <w:pPr>
        <w:snapToGrid w:val="0"/>
        <w:spacing w:line="540" w:lineRule="exact"/>
        <w:outlineLvl w:val="0"/>
        <w:rPr>
          <w:rFonts w:eastAsia="黑体"/>
          <w:szCs w:val="32"/>
        </w:rPr>
      </w:pPr>
    </w:p>
    <w:p w14:paraId="100ED1AB">
      <w:pPr>
        <w:snapToGrid w:val="0"/>
        <w:spacing w:line="540" w:lineRule="exact"/>
        <w:outlineLvl w:val="0"/>
        <w:rPr>
          <w:rFonts w:eastAsia="黑体"/>
          <w:szCs w:val="32"/>
        </w:rPr>
      </w:pPr>
    </w:p>
    <w:p w14:paraId="0F915D25">
      <w:pPr>
        <w:snapToGrid w:val="0"/>
        <w:spacing w:line="540" w:lineRule="exact"/>
        <w:outlineLvl w:val="0"/>
        <w:rPr>
          <w:rFonts w:eastAsia="黑体"/>
          <w:szCs w:val="32"/>
        </w:rPr>
      </w:pPr>
    </w:p>
    <w:p w14:paraId="665936BC">
      <w:pPr>
        <w:snapToGrid w:val="0"/>
        <w:spacing w:line="540" w:lineRule="exact"/>
        <w:outlineLvl w:val="0"/>
        <w:rPr>
          <w:rFonts w:eastAsia="黑体"/>
          <w:szCs w:val="32"/>
        </w:rPr>
      </w:pPr>
    </w:p>
    <w:p w14:paraId="090337C5">
      <w:pPr>
        <w:snapToGrid w:val="0"/>
        <w:spacing w:line="540" w:lineRule="exact"/>
        <w:outlineLvl w:val="0"/>
        <w:rPr>
          <w:rFonts w:eastAsia="黑体"/>
          <w:szCs w:val="32"/>
        </w:rPr>
      </w:pPr>
    </w:p>
    <w:p w14:paraId="311AA863">
      <w:pPr>
        <w:snapToGrid w:val="0"/>
        <w:spacing w:line="540" w:lineRule="exact"/>
        <w:outlineLvl w:val="0"/>
        <w:rPr>
          <w:rFonts w:eastAsia="黑体"/>
          <w:szCs w:val="32"/>
        </w:rPr>
      </w:pPr>
    </w:p>
    <w:p w14:paraId="3773AF3D">
      <w:pPr>
        <w:snapToGrid w:val="0"/>
        <w:spacing w:line="540" w:lineRule="exact"/>
        <w:outlineLvl w:val="0"/>
        <w:rPr>
          <w:rFonts w:eastAsia="黑体"/>
          <w:szCs w:val="32"/>
        </w:rPr>
      </w:pPr>
    </w:p>
    <w:p w14:paraId="1002E2B1">
      <w:pPr>
        <w:snapToGrid w:val="0"/>
        <w:spacing w:line="540" w:lineRule="exact"/>
        <w:outlineLvl w:val="0"/>
        <w:rPr>
          <w:rFonts w:eastAsia="黑体"/>
          <w:szCs w:val="32"/>
        </w:rPr>
      </w:pPr>
    </w:p>
    <w:p w14:paraId="5E52792C">
      <w:pPr>
        <w:snapToGrid w:val="0"/>
        <w:spacing w:line="540" w:lineRule="exact"/>
        <w:outlineLvl w:val="0"/>
        <w:rPr>
          <w:rFonts w:eastAsia="黑体"/>
          <w:szCs w:val="32"/>
        </w:rPr>
      </w:pPr>
    </w:p>
    <w:p w14:paraId="3F253254">
      <w:pPr>
        <w:snapToGrid w:val="0"/>
        <w:spacing w:line="540" w:lineRule="exact"/>
        <w:outlineLvl w:val="0"/>
        <w:rPr>
          <w:rFonts w:eastAsia="黑体"/>
          <w:szCs w:val="32"/>
        </w:rPr>
      </w:pPr>
    </w:p>
    <w:p w14:paraId="5395333C">
      <w:pPr>
        <w:snapToGrid w:val="0"/>
        <w:spacing w:line="540" w:lineRule="exact"/>
        <w:outlineLvl w:val="0"/>
        <w:rPr>
          <w:rFonts w:eastAsia="黑体"/>
          <w:szCs w:val="32"/>
        </w:rPr>
      </w:pPr>
    </w:p>
    <w:p w14:paraId="12C2E7D9">
      <w:pPr>
        <w:snapToGrid w:val="0"/>
        <w:spacing w:line="540" w:lineRule="exact"/>
        <w:outlineLvl w:val="0"/>
        <w:rPr>
          <w:rFonts w:eastAsia="黑体"/>
          <w:szCs w:val="32"/>
        </w:rPr>
      </w:pPr>
    </w:p>
    <w:p w14:paraId="74B7E9BB">
      <w:pPr>
        <w:snapToGrid w:val="0"/>
        <w:spacing w:line="540" w:lineRule="exact"/>
        <w:outlineLvl w:val="0"/>
        <w:rPr>
          <w:rFonts w:eastAsia="黑体"/>
          <w:szCs w:val="32"/>
        </w:rPr>
      </w:pPr>
    </w:p>
    <w:p w14:paraId="745C7B43">
      <w:pPr>
        <w:snapToGrid w:val="0"/>
        <w:spacing w:line="540" w:lineRule="exact"/>
        <w:outlineLvl w:val="0"/>
        <w:rPr>
          <w:rFonts w:eastAsia="黑体"/>
          <w:szCs w:val="32"/>
        </w:rPr>
      </w:pPr>
    </w:p>
    <w:p w14:paraId="4C06AA15">
      <w:pPr>
        <w:snapToGrid w:val="0"/>
        <w:spacing w:line="540" w:lineRule="exact"/>
        <w:ind w:left="566" w:hanging="566" w:hangingChars="177"/>
        <w:outlineLvl w:val="0"/>
        <w:rPr>
          <w:rFonts w:eastAsia="黑体"/>
          <w:szCs w:val="32"/>
        </w:rPr>
      </w:pPr>
    </w:p>
    <w:p w14:paraId="7BCEA4B2">
      <w:pPr>
        <w:snapToGrid w:val="0"/>
        <w:spacing w:line="540" w:lineRule="exact"/>
        <w:ind w:left="566" w:hanging="566" w:hangingChars="177"/>
        <w:outlineLvl w:val="0"/>
        <w:rPr>
          <w:rFonts w:eastAsia="黑体"/>
          <w:szCs w:val="32"/>
        </w:rPr>
      </w:pPr>
      <w:r>
        <w:rPr>
          <w:rFonts w:eastAsia="黑体"/>
          <w:szCs w:val="32"/>
        </w:rPr>
        <w:t>附件1</w:t>
      </w:r>
    </w:p>
    <w:p w14:paraId="29A15277">
      <w:pPr>
        <w:snapToGrid w:val="0"/>
        <w:spacing w:line="540" w:lineRule="exact"/>
        <w:ind w:left="425" w:hanging="424" w:hangingChars="177"/>
        <w:rPr>
          <w:rFonts w:eastAsia="黑体"/>
          <w:sz w:val="24"/>
        </w:rPr>
      </w:pPr>
    </w:p>
    <w:p w14:paraId="35F29E93">
      <w:pPr>
        <w:autoSpaceDN w:val="0"/>
        <w:spacing w:line="540" w:lineRule="exact"/>
        <w:jc w:val="center"/>
        <w:textAlignment w:val="center"/>
        <w:rPr>
          <w:rFonts w:eastAsia="长城小标宋体"/>
          <w:sz w:val="44"/>
          <w:szCs w:val="44"/>
        </w:rPr>
      </w:pPr>
      <w:r>
        <w:rPr>
          <w:rFonts w:eastAsia="方正小标宋简体"/>
          <w:sz w:val="44"/>
          <w:szCs w:val="44"/>
        </w:rPr>
        <w:t>绿色低碳技术领域及技术类型</w:t>
      </w:r>
    </w:p>
    <w:p w14:paraId="6A5DFED7">
      <w:pPr>
        <w:snapToGrid w:val="0"/>
        <w:spacing w:line="540" w:lineRule="exact"/>
        <w:ind w:left="425" w:hanging="424" w:hangingChars="177"/>
        <w:rPr>
          <w:rFonts w:eastAsia="黑体"/>
          <w:sz w:val="24"/>
        </w:rPr>
      </w:pPr>
    </w:p>
    <w:p w14:paraId="05A44E3F">
      <w:pPr>
        <w:spacing w:line="520" w:lineRule="exact"/>
        <w:ind w:firstLine="640" w:firstLineChars="200"/>
        <w:rPr>
          <w:rFonts w:eastAsia="黑体"/>
          <w:szCs w:val="32"/>
        </w:rPr>
      </w:pPr>
      <w:r>
        <w:rPr>
          <w:rFonts w:eastAsia="黑体"/>
          <w:szCs w:val="32"/>
        </w:rPr>
        <w:t>一、技术领域</w:t>
      </w:r>
    </w:p>
    <w:p w14:paraId="6A4349A3">
      <w:pPr>
        <w:spacing w:line="520" w:lineRule="exact"/>
        <w:ind w:firstLine="640" w:firstLineChars="200"/>
        <w:rPr>
          <w:rFonts w:eastAsia="仿宋_GB2312"/>
          <w:szCs w:val="32"/>
        </w:rPr>
      </w:pPr>
      <w:r>
        <w:rPr>
          <w:rFonts w:eastAsia="仿宋_GB2312"/>
          <w:szCs w:val="32"/>
        </w:rPr>
        <w:t>水治理技术、大气治理技术、碳减排技术、土壤及地下水风险管控与修复技术、固废利用处置技术、海洋生态治理技术、清洁生产技术、环境监测检测技术、智慧环保技术、其他环境领域技术。</w:t>
      </w:r>
    </w:p>
    <w:p w14:paraId="0A8C6680">
      <w:pPr>
        <w:spacing w:line="520" w:lineRule="exact"/>
        <w:ind w:firstLine="640" w:firstLineChars="200"/>
        <w:rPr>
          <w:rFonts w:eastAsia="黑体"/>
          <w:szCs w:val="32"/>
        </w:rPr>
      </w:pPr>
      <w:r>
        <w:rPr>
          <w:rFonts w:eastAsia="黑体"/>
          <w:szCs w:val="32"/>
        </w:rPr>
        <w:t>二、技术类型</w:t>
      </w:r>
    </w:p>
    <w:p w14:paraId="5DF51E6E">
      <w:pPr>
        <w:spacing w:line="520" w:lineRule="exact"/>
        <w:ind w:firstLine="640" w:firstLineChars="200"/>
        <w:rPr>
          <w:rFonts w:eastAsia="楷体_GB2312"/>
          <w:szCs w:val="32"/>
        </w:rPr>
      </w:pPr>
      <w:r>
        <w:rPr>
          <w:rFonts w:eastAsia="仿宋_GB2312"/>
          <w:szCs w:val="32"/>
        </w:rPr>
        <w:t>（一）</w:t>
      </w:r>
      <w:bookmarkStart w:id="0" w:name="_Hlk71117478"/>
      <w:r>
        <w:rPr>
          <w:rFonts w:eastAsia="楷体_GB2312"/>
          <w:szCs w:val="32"/>
        </w:rPr>
        <w:t>水治理技术</w:t>
      </w:r>
      <w:bookmarkEnd w:id="0"/>
    </w:p>
    <w:p w14:paraId="5EB93BA7">
      <w:pPr>
        <w:spacing w:line="520" w:lineRule="exact"/>
        <w:ind w:firstLine="640" w:firstLineChars="200"/>
        <w:rPr>
          <w:rFonts w:eastAsia="仿宋_GB2312"/>
          <w:szCs w:val="32"/>
        </w:rPr>
      </w:pPr>
      <w:r>
        <w:rPr>
          <w:rFonts w:eastAsia="仿宋_GB2312"/>
          <w:szCs w:val="32"/>
        </w:rPr>
        <w:t>工业污水治理、市政污水治理、</w:t>
      </w:r>
      <w:r>
        <w:rPr>
          <w:rFonts w:eastAsia="仿宋_GB2312"/>
          <w:bCs/>
          <w:szCs w:val="32"/>
        </w:rPr>
        <w:t>废水资源化利用、</w:t>
      </w:r>
      <w:r>
        <w:rPr>
          <w:rFonts w:eastAsia="仿宋_GB2312"/>
          <w:szCs w:val="32"/>
        </w:rPr>
        <w:t>农村污水治理、流域环境综合整治等技术。</w:t>
      </w:r>
    </w:p>
    <w:p w14:paraId="554B22AF">
      <w:pPr>
        <w:spacing w:line="520" w:lineRule="exact"/>
        <w:ind w:firstLine="640" w:firstLineChars="200"/>
        <w:rPr>
          <w:rFonts w:eastAsia="楷体_GB2312"/>
          <w:szCs w:val="32"/>
        </w:rPr>
      </w:pPr>
      <w:r>
        <w:rPr>
          <w:rFonts w:eastAsia="楷体_GB2312"/>
          <w:szCs w:val="32"/>
        </w:rPr>
        <w:t>（二）大气治理技术</w:t>
      </w:r>
    </w:p>
    <w:p w14:paraId="457CA3E9">
      <w:pPr>
        <w:spacing w:line="520" w:lineRule="exact"/>
        <w:ind w:firstLine="640" w:firstLineChars="200"/>
        <w:rPr>
          <w:rFonts w:eastAsia="仿宋_GB2312"/>
          <w:szCs w:val="32"/>
        </w:rPr>
      </w:pPr>
      <w:r>
        <w:rPr>
          <w:rFonts w:eastAsia="仿宋_GB2312"/>
          <w:szCs w:val="32"/>
        </w:rPr>
        <w:t>工业烟气治理、VOCs治理、机动车尾气治理、恶臭治理、散煤治理、清洁取暖及燃煤替代、</w:t>
      </w:r>
      <w:r>
        <w:rPr>
          <w:rFonts w:eastAsia="仿宋_GB2312"/>
          <w:bCs/>
          <w:szCs w:val="32"/>
        </w:rPr>
        <w:t>氨逃逸、工业企业无组织排放、工地扬尘控制</w:t>
      </w:r>
      <w:r>
        <w:rPr>
          <w:rFonts w:eastAsia="仿宋_GB2312"/>
          <w:szCs w:val="32"/>
        </w:rPr>
        <w:t>等</w:t>
      </w:r>
      <w:r>
        <w:rPr>
          <w:rFonts w:eastAsia="仿宋_GB2312"/>
          <w:bCs/>
          <w:szCs w:val="32"/>
        </w:rPr>
        <w:t>技术</w:t>
      </w:r>
      <w:r>
        <w:rPr>
          <w:rFonts w:eastAsia="仿宋_GB2312"/>
          <w:szCs w:val="32"/>
        </w:rPr>
        <w:t>。</w:t>
      </w:r>
    </w:p>
    <w:p w14:paraId="40DCA784">
      <w:pPr>
        <w:spacing w:line="520" w:lineRule="exact"/>
        <w:ind w:firstLine="640" w:firstLineChars="200"/>
        <w:rPr>
          <w:rFonts w:eastAsia="楷体_GB2312"/>
          <w:szCs w:val="32"/>
        </w:rPr>
      </w:pPr>
      <w:r>
        <w:rPr>
          <w:rFonts w:eastAsia="楷体_GB2312"/>
          <w:szCs w:val="32"/>
        </w:rPr>
        <w:t>（三）碳减排技术</w:t>
      </w:r>
    </w:p>
    <w:p w14:paraId="655DCF66">
      <w:pPr>
        <w:spacing w:line="520" w:lineRule="exact"/>
        <w:ind w:firstLine="640" w:firstLineChars="200"/>
        <w:rPr>
          <w:rFonts w:eastAsia="仿宋_GB2312"/>
          <w:szCs w:val="32"/>
        </w:rPr>
      </w:pPr>
      <w:r>
        <w:rPr>
          <w:rFonts w:eastAsia="仿宋_GB2312"/>
          <w:szCs w:val="32"/>
        </w:rPr>
        <w:t>可再生能源利用和储能，余热回收利用技术，碳捕集、利用与封存等技术。</w:t>
      </w:r>
    </w:p>
    <w:p w14:paraId="33FB8822">
      <w:pPr>
        <w:spacing w:line="520" w:lineRule="exact"/>
        <w:ind w:firstLine="640" w:firstLineChars="200"/>
        <w:rPr>
          <w:rFonts w:eastAsia="楷体_GB2312"/>
          <w:szCs w:val="32"/>
        </w:rPr>
      </w:pPr>
      <w:bookmarkStart w:id="1" w:name="_Hlk71117504"/>
      <w:r>
        <w:rPr>
          <w:rFonts w:eastAsia="楷体_GB2312"/>
          <w:szCs w:val="32"/>
        </w:rPr>
        <w:t>（四）土壤及地下水风险管控与修复技术</w:t>
      </w:r>
    </w:p>
    <w:bookmarkEnd w:id="1"/>
    <w:p w14:paraId="7124F8FE">
      <w:pPr>
        <w:spacing w:line="520" w:lineRule="exact"/>
        <w:ind w:firstLine="640" w:firstLineChars="200"/>
        <w:rPr>
          <w:rFonts w:eastAsia="仿宋_GB2312"/>
          <w:bCs/>
          <w:szCs w:val="32"/>
        </w:rPr>
      </w:pPr>
      <w:r>
        <w:rPr>
          <w:rFonts w:eastAsia="仿宋_GB2312"/>
          <w:bCs/>
          <w:szCs w:val="32"/>
        </w:rPr>
        <w:t>农用地、建设用地土壤污染风险管控和修复，地下水污染风险管控和修复，矿山修复等技术。</w:t>
      </w:r>
    </w:p>
    <w:p w14:paraId="4DE6512A">
      <w:pPr>
        <w:spacing w:line="520" w:lineRule="exact"/>
        <w:ind w:firstLine="640" w:firstLineChars="200"/>
        <w:rPr>
          <w:rFonts w:eastAsia="楷体_GB2312"/>
          <w:szCs w:val="32"/>
        </w:rPr>
      </w:pPr>
      <w:r>
        <w:rPr>
          <w:rFonts w:eastAsia="楷体_GB2312"/>
          <w:szCs w:val="32"/>
        </w:rPr>
        <w:t>（五）固废利用处置技术</w:t>
      </w:r>
    </w:p>
    <w:p w14:paraId="5E64A4C9">
      <w:pPr>
        <w:spacing w:line="520" w:lineRule="exact"/>
        <w:ind w:firstLine="640" w:firstLineChars="200"/>
        <w:rPr>
          <w:rFonts w:eastAsia="仿宋_GB2312"/>
          <w:szCs w:val="32"/>
        </w:rPr>
      </w:pPr>
      <w:r>
        <w:rPr>
          <w:rFonts w:eastAsia="仿宋_GB2312"/>
          <w:szCs w:val="32"/>
        </w:rPr>
        <w:t>工业固体废物、</w:t>
      </w:r>
      <w:r>
        <w:rPr>
          <w:rFonts w:eastAsia="仿宋_GB2312"/>
          <w:bCs/>
          <w:szCs w:val="32"/>
        </w:rPr>
        <w:t>农业废物、交通运输业废物</w:t>
      </w:r>
      <w:r>
        <w:rPr>
          <w:rFonts w:eastAsia="仿宋_GB2312"/>
          <w:szCs w:val="32"/>
        </w:rPr>
        <w:t>、生活垃圾、危险废物、</w:t>
      </w:r>
      <w:r>
        <w:rPr>
          <w:rFonts w:eastAsia="仿宋_GB2312"/>
          <w:bCs/>
          <w:szCs w:val="32"/>
        </w:rPr>
        <w:t>医疗废物、</w:t>
      </w:r>
      <w:r>
        <w:rPr>
          <w:rFonts w:eastAsia="仿宋_GB2312"/>
          <w:szCs w:val="32"/>
        </w:rPr>
        <w:t>污泥、建筑垃圾、</w:t>
      </w:r>
      <w:r>
        <w:rPr>
          <w:rFonts w:eastAsia="仿宋_GB2312"/>
          <w:bCs/>
          <w:szCs w:val="32"/>
        </w:rPr>
        <w:t>废弃电器电子产品、废铅蓄电池</w:t>
      </w:r>
      <w:r>
        <w:rPr>
          <w:rFonts w:eastAsia="仿宋_GB2312"/>
          <w:szCs w:val="32"/>
        </w:rPr>
        <w:t>等技术。</w:t>
      </w:r>
    </w:p>
    <w:p w14:paraId="67534162">
      <w:pPr>
        <w:spacing w:line="520" w:lineRule="exact"/>
        <w:ind w:firstLine="640" w:firstLineChars="200"/>
        <w:rPr>
          <w:rFonts w:eastAsia="楷体_GB2312"/>
          <w:szCs w:val="32"/>
        </w:rPr>
      </w:pPr>
      <w:bookmarkStart w:id="2" w:name="_Hlk71117520"/>
      <w:r>
        <w:rPr>
          <w:rFonts w:eastAsia="楷体_GB2312"/>
          <w:szCs w:val="32"/>
        </w:rPr>
        <w:t>（六）海洋生态治理技术</w:t>
      </w:r>
    </w:p>
    <w:bookmarkEnd w:id="2"/>
    <w:p w14:paraId="12E7BA55">
      <w:pPr>
        <w:spacing w:line="520" w:lineRule="exact"/>
        <w:ind w:firstLine="640" w:firstLineChars="200"/>
        <w:rPr>
          <w:rFonts w:eastAsia="仿宋_GB2312"/>
          <w:szCs w:val="32"/>
        </w:rPr>
      </w:pPr>
      <w:r>
        <w:rPr>
          <w:rFonts w:eastAsia="仿宋_GB2312"/>
          <w:szCs w:val="32"/>
        </w:rPr>
        <w:t>入海河流总氮控制、海洋与海岸带生态保护与修复、海水养殖污染治理与废弃物高值利用、船舶港口污染防治、近岸海域富营养化防治、海洋环境风险应急防范等技术。</w:t>
      </w:r>
    </w:p>
    <w:p w14:paraId="3972080A">
      <w:pPr>
        <w:spacing w:line="520" w:lineRule="exact"/>
        <w:ind w:firstLine="640" w:firstLineChars="200"/>
        <w:rPr>
          <w:rFonts w:eastAsia="楷体_GB2312"/>
          <w:szCs w:val="32"/>
        </w:rPr>
      </w:pPr>
      <w:bookmarkStart w:id="3" w:name="_Hlk71117529"/>
      <w:r>
        <w:rPr>
          <w:rFonts w:eastAsia="楷体_GB2312"/>
          <w:szCs w:val="32"/>
        </w:rPr>
        <w:t>（七）清洁生产技术</w:t>
      </w:r>
    </w:p>
    <w:bookmarkEnd w:id="3"/>
    <w:p w14:paraId="5B0AB753">
      <w:pPr>
        <w:spacing w:line="520" w:lineRule="exact"/>
        <w:ind w:firstLine="640" w:firstLineChars="200"/>
        <w:rPr>
          <w:rFonts w:eastAsia="仿宋_GB2312"/>
          <w:szCs w:val="32"/>
        </w:rPr>
      </w:pPr>
      <w:r>
        <w:rPr>
          <w:rFonts w:eastAsia="仿宋_GB2312"/>
          <w:szCs w:val="32"/>
        </w:rPr>
        <w:t>钢铁、石化化工、有色金属、建材等重点行业清洁生产改造技术，工业产品绿色设计、能源清洁高效低碳安全利用、农业节水灌溉控制、多污染物协同减排等技术。</w:t>
      </w:r>
    </w:p>
    <w:p w14:paraId="671A05D6">
      <w:pPr>
        <w:spacing w:line="520" w:lineRule="exact"/>
        <w:ind w:firstLine="640" w:firstLineChars="200"/>
        <w:rPr>
          <w:rFonts w:eastAsia="楷体_GB2312"/>
          <w:szCs w:val="32"/>
        </w:rPr>
      </w:pPr>
      <w:bookmarkStart w:id="4" w:name="_Hlk71117537"/>
      <w:r>
        <w:rPr>
          <w:rFonts w:eastAsia="楷体_GB2312"/>
          <w:szCs w:val="32"/>
        </w:rPr>
        <w:t>（八）环境监测检测技术</w:t>
      </w:r>
    </w:p>
    <w:bookmarkEnd w:id="4"/>
    <w:p w14:paraId="0738402A">
      <w:pPr>
        <w:spacing w:line="520" w:lineRule="exact"/>
        <w:ind w:firstLine="640" w:firstLineChars="200"/>
        <w:rPr>
          <w:rFonts w:eastAsia="仿宋_GB2312"/>
          <w:szCs w:val="32"/>
        </w:rPr>
      </w:pPr>
      <w:r>
        <w:rPr>
          <w:rFonts w:eastAsia="仿宋_GB2312"/>
          <w:szCs w:val="32"/>
        </w:rPr>
        <w:t>大气、地表水、土壤、地下水、海洋、生物、生态、噪声、放射性污染等环境监测检测与预警技术。</w:t>
      </w:r>
    </w:p>
    <w:p w14:paraId="4120DA9D">
      <w:pPr>
        <w:spacing w:line="520" w:lineRule="exact"/>
        <w:ind w:firstLine="640" w:firstLineChars="200"/>
        <w:rPr>
          <w:rFonts w:eastAsia="楷体_GB2312"/>
          <w:szCs w:val="32"/>
        </w:rPr>
      </w:pPr>
      <w:r>
        <w:rPr>
          <w:rFonts w:eastAsia="楷体_GB2312"/>
          <w:szCs w:val="32"/>
        </w:rPr>
        <w:t>（九）智慧环保领域技术</w:t>
      </w:r>
    </w:p>
    <w:p w14:paraId="613EBE9D">
      <w:pPr>
        <w:spacing w:line="520" w:lineRule="exact"/>
        <w:ind w:firstLine="640" w:firstLineChars="200"/>
        <w:rPr>
          <w:rFonts w:eastAsia="仿宋_GB2312"/>
          <w:szCs w:val="32"/>
        </w:rPr>
      </w:pPr>
      <w:r>
        <w:rPr>
          <w:rFonts w:eastAsia="仿宋_GB2312"/>
          <w:szCs w:val="32"/>
        </w:rPr>
        <w:t>生态环境大数据应用技术，无人机、无人船环境监测与管控技术等。</w:t>
      </w:r>
    </w:p>
    <w:p w14:paraId="030E7B41">
      <w:pPr>
        <w:spacing w:line="520" w:lineRule="exact"/>
        <w:ind w:firstLine="640" w:firstLineChars="200"/>
        <w:rPr>
          <w:rFonts w:eastAsia="楷体_GB2312"/>
          <w:szCs w:val="32"/>
        </w:rPr>
      </w:pPr>
      <w:bookmarkStart w:id="5" w:name="_Hlk71117546"/>
      <w:r>
        <w:rPr>
          <w:rFonts w:eastAsia="楷体_GB2312"/>
          <w:szCs w:val="32"/>
        </w:rPr>
        <w:t>（十）其他环境领域技术</w:t>
      </w:r>
    </w:p>
    <w:bookmarkEnd w:id="5"/>
    <w:p w14:paraId="04EDAF66">
      <w:pPr>
        <w:spacing w:line="520" w:lineRule="exact"/>
        <w:ind w:firstLine="640" w:firstLineChars="200"/>
        <w:rPr>
          <w:rFonts w:eastAsia="仿宋_GB2312"/>
          <w:szCs w:val="32"/>
        </w:rPr>
      </w:pPr>
      <w:r>
        <w:rPr>
          <w:rFonts w:eastAsia="仿宋_GB2312"/>
          <w:szCs w:val="32"/>
        </w:rPr>
        <w:t>工业、道路交通、建筑施工、社会生活噪声污染控制技术；绿色宜居、农村人居环境改善；放射性废物处置与污染防治技术；流域信息管理、区域智能管控等生态环境管理平台技术；生态工业园区建设相关技术；循环经济等资源综合利用技术；低安全风险环境治理技术等。</w:t>
      </w:r>
    </w:p>
    <w:sectPr>
      <w:pgSz w:w="11906" w:h="16838"/>
      <w:pgMar w:top="1417" w:right="1474" w:bottom="1417" w:left="1587" w:header="851" w:footer="1304"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60101010101"/>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长城小标宋体">
    <w:altName w:val="方正小标宋简体"/>
    <w:panose1 w:val="00000000000000000000"/>
    <w:charset w:val="86"/>
    <w:family w:val="moder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ZjNjE5OGE4Y2M1NWRkNmZkZDA0N2Q3YjhhYzE5NmYifQ=="/>
  </w:docVars>
  <w:rsids>
    <w:rsidRoot w:val="00770F82"/>
    <w:rsid w:val="00027C68"/>
    <w:rsid w:val="000A35D4"/>
    <w:rsid w:val="000A6D81"/>
    <w:rsid w:val="000D2223"/>
    <w:rsid w:val="000F57BF"/>
    <w:rsid w:val="00113172"/>
    <w:rsid w:val="0012679A"/>
    <w:rsid w:val="00150187"/>
    <w:rsid w:val="0015071F"/>
    <w:rsid w:val="00160A53"/>
    <w:rsid w:val="0018330E"/>
    <w:rsid w:val="001B5E56"/>
    <w:rsid w:val="002257E9"/>
    <w:rsid w:val="002B7185"/>
    <w:rsid w:val="002F15AB"/>
    <w:rsid w:val="003670A8"/>
    <w:rsid w:val="00384C83"/>
    <w:rsid w:val="003F08EE"/>
    <w:rsid w:val="0042219D"/>
    <w:rsid w:val="004364EF"/>
    <w:rsid w:val="00470169"/>
    <w:rsid w:val="004B3BD2"/>
    <w:rsid w:val="004D6FA0"/>
    <w:rsid w:val="00541A19"/>
    <w:rsid w:val="00551160"/>
    <w:rsid w:val="00552527"/>
    <w:rsid w:val="005F3C3B"/>
    <w:rsid w:val="006160CB"/>
    <w:rsid w:val="00620481"/>
    <w:rsid w:val="006B31FA"/>
    <w:rsid w:val="006E6FE2"/>
    <w:rsid w:val="007017FB"/>
    <w:rsid w:val="00705CBD"/>
    <w:rsid w:val="00717703"/>
    <w:rsid w:val="00770F82"/>
    <w:rsid w:val="00855299"/>
    <w:rsid w:val="00882978"/>
    <w:rsid w:val="00910BD0"/>
    <w:rsid w:val="00914FCA"/>
    <w:rsid w:val="00951085"/>
    <w:rsid w:val="00A65751"/>
    <w:rsid w:val="00AD4E6E"/>
    <w:rsid w:val="00AF1F7C"/>
    <w:rsid w:val="00B60B0D"/>
    <w:rsid w:val="00B6520A"/>
    <w:rsid w:val="00BC675A"/>
    <w:rsid w:val="00BE6B42"/>
    <w:rsid w:val="00C4251B"/>
    <w:rsid w:val="00D460D1"/>
    <w:rsid w:val="00D54D2D"/>
    <w:rsid w:val="00D61965"/>
    <w:rsid w:val="00D84CFF"/>
    <w:rsid w:val="00DA4265"/>
    <w:rsid w:val="00DA5CF2"/>
    <w:rsid w:val="00DC014E"/>
    <w:rsid w:val="00DC4940"/>
    <w:rsid w:val="00E256BE"/>
    <w:rsid w:val="00E602FB"/>
    <w:rsid w:val="00EB562C"/>
    <w:rsid w:val="00EC755C"/>
    <w:rsid w:val="00F41262"/>
    <w:rsid w:val="00FA63D9"/>
    <w:rsid w:val="00FB24F0"/>
    <w:rsid w:val="00FB2CEE"/>
    <w:rsid w:val="00FD7CBA"/>
    <w:rsid w:val="00FE7FDC"/>
    <w:rsid w:val="028D2F42"/>
    <w:rsid w:val="03BF009A"/>
    <w:rsid w:val="04394C57"/>
    <w:rsid w:val="048C5B49"/>
    <w:rsid w:val="06A43895"/>
    <w:rsid w:val="074B1659"/>
    <w:rsid w:val="08E41D65"/>
    <w:rsid w:val="08E43B13"/>
    <w:rsid w:val="0AB614DF"/>
    <w:rsid w:val="0B217C1D"/>
    <w:rsid w:val="0B492ADD"/>
    <w:rsid w:val="0CDA375D"/>
    <w:rsid w:val="0CEE0318"/>
    <w:rsid w:val="0CF41CB9"/>
    <w:rsid w:val="0E7D5F55"/>
    <w:rsid w:val="0E90407E"/>
    <w:rsid w:val="0F5072A2"/>
    <w:rsid w:val="0FDD3230"/>
    <w:rsid w:val="11AD4AFB"/>
    <w:rsid w:val="12AA05E2"/>
    <w:rsid w:val="177D0B4D"/>
    <w:rsid w:val="184C0AF1"/>
    <w:rsid w:val="189523E7"/>
    <w:rsid w:val="1B1C538E"/>
    <w:rsid w:val="1BFEDA13"/>
    <w:rsid w:val="1D8A2A83"/>
    <w:rsid w:val="20600532"/>
    <w:rsid w:val="238431B5"/>
    <w:rsid w:val="23A62696"/>
    <w:rsid w:val="24064BC6"/>
    <w:rsid w:val="240F2D9B"/>
    <w:rsid w:val="2634653D"/>
    <w:rsid w:val="27D524AA"/>
    <w:rsid w:val="27FC6629"/>
    <w:rsid w:val="29EBB6A3"/>
    <w:rsid w:val="2A790107"/>
    <w:rsid w:val="2AB36F1A"/>
    <w:rsid w:val="2B4029D3"/>
    <w:rsid w:val="2C526E62"/>
    <w:rsid w:val="2D504099"/>
    <w:rsid w:val="2D8D3ECA"/>
    <w:rsid w:val="31F87B40"/>
    <w:rsid w:val="33626CF6"/>
    <w:rsid w:val="336B0809"/>
    <w:rsid w:val="336D5AEE"/>
    <w:rsid w:val="33DF7227"/>
    <w:rsid w:val="36A91D74"/>
    <w:rsid w:val="36F32FEF"/>
    <w:rsid w:val="375DFD6F"/>
    <w:rsid w:val="377D835F"/>
    <w:rsid w:val="378D40D9"/>
    <w:rsid w:val="37FEE19E"/>
    <w:rsid w:val="39812B34"/>
    <w:rsid w:val="39FF482C"/>
    <w:rsid w:val="3A175247"/>
    <w:rsid w:val="3A3E27D3"/>
    <w:rsid w:val="3A8723CC"/>
    <w:rsid w:val="3B626996"/>
    <w:rsid w:val="3B9D77EA"/>
    <w:rsid w:val="3BA7084C"/>
    <w:rsid w:val="3BE92C13"/>
    <w:rsid w:val="3D5D91DC"/>
    <w:rsid w:val="3DBA4867"/>
    <w:rsid w:val="3DEB3BCA"/>
    <w:rsid w:val="3E6D3687"/>
    <w:rsid w:val="3EDD523A"/>
    <w:rsid w:val="3EE6791B"/>
    <w:rsid w:val="3EEFBC1D"/>
    <w:rsid w:val="3FBAE379"/>
    <w:rsid w:val="3FC7B4B5"/>
    <w:rsid w:val="3FDF70D3"/>
    <w:rsid w:val="3FFD8740"/>
    <w:rsid w:val="4218129D"/>
    <w:rsid w:val="42666D6B"/>
    <w:rsid w:val="42726CD3"/>
    <w:rsid w:val="46B01836"/>
    <w:rsid w:val="474D4056"/>
    <w:rsid w:val="475A934A"/>
    <w:rsid w:val="4C83676C"/>
    <w:rsid w:val="4CF7BF07"/>
    <w:rsid w:val="4E463256"/>
    <w:rsid w:val="4EA824BA"/>
    <w:rsid w:val="4EB3EDF2"/>
    <w:rsid w:val="506F671E"/>
    <w:rsid w:val="50AD5D09"/>
    <w:rsid w:val="50EF2822"/>
    <w:rsid w:val="53263312"/>
    <w:rsid w:val="54FEEDBD"/>
    <w:rsid w:val="55713605"/>
    <w:rsid w:val="55DF3360"/>
    <w:rsid w:val="57CC254A"/>
    <w:rsid w:val="57D32C11"/>
    <w:rsid w:val="57DD1426"/>
    <w:rsid w:val="57F7E61E"/>
    <w:rsid w:val="58D75E75"/>
    <w:rsid w:val="59DE3233"/>
    <w:rsid w:val="59ED3476"/>
    <w:rsid w:val="59FF679F"/>
    <w:rsid w:val="5A290952"/>
    <w:rsid w:val="5A643739"/>
    <w:rsid w:val="5A8262B5"/>
    <w:rsid w:val="5B774714"/>
    <w:rsid w:val="5B7C2D04"/>
    <w:rsid w:val="5B882075"/>
    <w:rsid w:val="5E3E6996"/>
    <w:rsid w:val="5EDD9127"/>
    <w:rsid w:val="5F771297"/>
    <w:rsid w:val="5FBBA55D"/>
    <w:rsid w:val="5FE26C3E"/>
    <w:rsid w:val="5FFB1377"/>
    <w:rsid w:val="5FFDA5E6"/>
    <w:rsid w:val="62A71ADB"/>
    <w:rsid w:val="63634A59"/>
    <w:rsid w:val="636FD95F"/>
    <w:rsid w:val="642607CF"/>
    <w:rsid w:val="66310DDA"/>
    <w:rsid w:val="67A79CB1"/>
    <w:rsid w:val="68437083"/>
    <w:rsid w:val="6B7FFB6D"/>
    <w:rsid w:val="6BEB613F"/>
    <w:rsid w:val="6C9408D4"/>
    <w:rsid w:val="6CB26586"/>
    <w:rsid w:val="6D231231"/>
    <w:rsid w:val="6D8C1CD4"/>
    <w:rsid w:val="6E3B6A4F"/>
    <w:rsid w:val="6E5B99BE"/>
    <w:rsid w:val="6ECC7154"/>
    <w:rsid w:val="6F972386"/>
    <w:rsid w:val="6FCEE72F"/>
    <w:rsid w:val="6FDE9212"/>
    <w:rsid w:val="6FFB1915"/>
    <w:rsid w:val="70567B70"/>
    <w:rsid w:val="709E44C0"/>
    <w:rsid w:val="719C27BA"/>
    <w:rsid w:val="72850298"/>
    <w:rsid w:val="72F7F3F5"/>
    <w:rsid w:val="73CC6DD2"/>
    <w:rsid w:val="74AD9C90"/>
    <w:rsid w:val="75BA87F2"/>
    <w:rsid w:val="77130569"/>
    <w:rsid w:val="7722255A"/>
    <w:rsid w:val="77C2BCD8"/>
    <w:rsid w:val="77DF0B2A"/>
    <w:rsid w:val="77EB41E9"/>
    <w:rsid w:val="77F84D21"/>
    <w:rsid w:val="795BFFE8"/>
    <w:rsid w:val="7A24354D"/>
    <w:rsid w:val="7A480F26"/>
    <w:rsid w:val="7A5F89B0"/>
    <w:rsid w:val="7A7333CC"/>
    <w:rsid w:val="7B203254"/>
    <w:rsid w:val="7B5758B2"/>
    <w:rsid w:val="7B660543"/>
    <w:rsid w:val="7BD6D013"/>
    <w:rsid w:val="7BFAD29E"/>
    <w:rsid w:val="7D46AE7D"/>
    <w:rsid w:val="7E8BCDA9"/>
    <w:rsid w:val="7EEB5DC1"/>
    <w:rsid w:val="7EF8C5D5"/>
    <w:rsid w:val="7F4F456A"/>
    <w:rsid w:val="7F55A7BA"/>
    <w:rsid w:val="7F65F9DE"/>
    <w:rsid w:val="7F76F9AB"/>
    <w:rsid w:val="7F7D486C"/>
    <w:rsid w:val="7FB708A3"/>
    <w:rsid w:val="7FBFE77C"/>
    <w:rsid w:val="7FC55347"/>
    <w:rsid w:val="7FCF10E6"/>
    <w:rsid w:val="7FFA6051"/>
    <w:rsid w:val="7FFD7256"/>
    <w:rsid w:val="89BD70A0"/>
    <w:rsid w:val="8FEFE11E"/>
    <w:rsid w:val="96FA0BF4"/>
    <w:rsid w:val="9CABDD86"/>
    <w:rsid w:val="9DF9F68A"/>
    <w:rsid w:val="9E7F11FF"/>
    <w:rsid w:val="9F6E8582"/>
    <w:rsid w:val="A3E7DCC8"/>
    <w:rsid w:val="A9FD3EC9"/>
    <w:rsid w:val="ABF98652"/>
    <w:rsid w:val="ABF9D1E9"/>
    <w:rsid w:val="ABFE74B9"/>
    <w:rsid w:val="AEF76102"/>
    <w:rsid w:val="B1FB65DA"/>
    <w:rsid w:val="B3B4D0EA"/>
    <w:rsid w:val="B73F31A5"/>
    <w:rsid w:val="B73F8AFC"/>
    <w:rsid w:val="B7FFD34B"/>
    <w:rsid w:val="BBFE676C"/>
    <w:rsid w:val="BFC9EE1B"/>
    <w:rsid w:val="BFEFCDAF"/>
    <w:rsid w:val="BFF7D305"/>
    <w:rsid w:val="BFFEE6EE"/>
    <w:rsid w:val="CFBE0632"/>
    <w:rsid w:val="CFEDCEC6"/>
    <w:rsid w:val="DC96CD3F"/>
    <w:rsid w:val="DCB7B2D6"/>
    <w:rsid w:val="DEF9A57C"/>
    <w:rsid w:val="DF526D16"/>
    <w:rsid w:val="EBBEC2CB"/>
    <w:rsid w:val="EBFF05A3"/>
    <w:rsid w:val="EC4C2662"/>
    <w:rsid w:val="ECFD1CC7"/>
    <w:rsid w:val="EFFEF762"/>
    <w:rsid w:val="EFFFEB2F"/>
    <w:rsid w:val="F19F32C4"/>
    <w:rsid w:val="F1E3D1BD"/>
    <w:rsid w:val="F377B182"/>
    <w:rsid w:val="F575FCD9"/>
    <w:rsid w:val="F5CE40D8"/>
    <w:rsid w:val="F5FF348B"/>
    <w:rsid w:val="F7FD0587"/>
    <w:rsid w:val="F7FF3346"/>
    <w:rsid w:val="F9DA0BB7"/>
    <w:rsid w:val="F9F50DDA"/>
    <w:rsid w:val="FCF6131E"/>
    <w:rsid w:val="FCFEF99C"/>
    <w:rsid w:val="FD729C39"/>
    <w:rsid w:val="FDABB3DE"/>
    <w:rsid w:val="FDDF23B6"/>
    <w:rsid w:val="FEEBE442"/>
    <w:rsid w:val="FFACE558"/>
    <w:rsid w:val="FFCD66A8"/>
    <w:rsid w:val="FFDC24C9"/>
    <w:rsid w:val="FFDED022"/>
    <w:rsid w:val="FFE66501"/>
    <w:rsid w:val="FFF78786"/>
    <w:rsid w:val="FFFF2814"/>
    <w:rsid w:val="FFFFA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1"/>
    <w:basedOn w:val="1"/>
    <w:next w:val="1"/>
    <w:link w:val="18"/>
    <w:qFormat/>
    <w:uiPriority w:val="0"/>
    <w:pPr>
      <w:keepNext/>
      <w:adjustRightInd w:val="0"/>
      <w:snapToGrid w:val="0"/>
      <w:spacing w:line="288" w:lineRule="auto"/>
      <w:outlineLvl w:val="0"/>
    </w:pPr>
    <w:rPr>
      <w:b/>
      <w:color w:val="0000FF"/>
      <w:sz w:val="24"/>
      <w:szCs w:val="32"/>
    </w:rPr>
  </w:style>
  <w:style w:type="paragraph" w:styleId="3">
    <w:name w:val="heading 2"/>
    <w:basedOn w:val="1"/>
    <w:next w:val="1"/>
    <w:link w:val="17"/>
    <w:semiHidden/>
    <w:unhideWhenUsed/>
    <w:qFormat/>
    <w:uiPriority w:val="0"/>
    <w:pPr>
      <w:keepNext/>
      <w:keepLines/>
      <w:spacing w:before="50" w:beforeLines="50" w:line="288" w:lineRule="auto"/>
      <w:ind w:firstLine="456"/>
      <w:outlineLvl w:val="1"/>
    </w:pPr>
    <w:rPr>
      <w:b/>
      <w:bCs/>
      <w:color w:val="0000FF"/>
      <w:sz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Date"/>
    <w:basedOn w:val="1"/>
    <w:next w:val="1"/>
    <w:link w:val="23"/>
    <w:qFormat/>
    <w:uiPriority w:val="0"/>
    <w:pPr>
      <w:ind w:left="100" w:leftChars="2500"/>
    </w:pPr>
  </w:style>
  <w:style w:type="paragraph" w:styleId="6">
    <w:name w:val="Balloon Text"/>
    <w:basedOn w:val="1"/>
    <w:link w:val="22"/>
    <w:qFormat/>
    <w:uiPriority w:val="0"/>
    <w:rPr>
      <w:sz w:val="18"/>
      <w:szCs w:val="18"/>
    </w:r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styleId="16">
    <w:name w:val="annotation reference"/>
    <w:basedOn w:val="13"/>
    <w:qFormat/>
    <w:uiPriority w:val="0"/>
    <w:rPr>
      <w:sz w:val="21"/>
      <w:szCs w:val="21"/>
    </w:rPr>
  </w:style>
  <w:style w:type="character" w:customStyle="1" w:styleId="17">
    <w:name w:val="标题 2 字符"/>
    <w:basedOn w:val="13"/>
    <w:link w:val="3"/>
    <w:qFormat/>
    <w:uiPriority w:val="0"/>
    <w:rPr>
      <w:rFonts w:eastAsia="楷体_GB2312" w:asciiTheme="majorHAnsi" w:hAnsiTheme="majorHAnsi" w:cstheme="majorBidi"/>
      <w:b/>
      <w:bCs/>
      <w:color w:val="0000FF"/>
      <w:kern w:val="2"/>
      <w:sz w:val="32"/>
      <w:szCs w:val="32"/>
    </w:rPr>
  </w:style>
  <w:style w:type="character" w:customStyle="1" w:styleId="18">
    <w:name w:val="标题 1 字符"/>
    <w:link w:val="2"/>
    <w:qFormat/>
    <w:uiPriority w:val="9"/>
    <w:rPr>
      <w:rFonts w:ascii="宋体" w:hAnsi="宋体" w:eastAsia="黑体" w:cs="宋体"/>
      <w:b/>
      <w:bCs/>
      <w:color w:val="000000"/>
      <w:kern w:val="36"/>
      <w:sz w:val="32"/>
      <w:szCs w:val="32"/>
    </w:rPr>
  </w:style>
  <w:style w:type="character" w:customStyle="1" w:styleId="19">
    <w:name w:val="批注文字 字符"/>
    <w:basedOn w:val="13"/>
    <w:link w:val="4"/>
    <w:qFormat/>
    <w:uiPriority w:val="0"/>
    <w:rPr>
      <w:rFonts w:ascii="Times New Roman" w:hAnsi="Times New Roman" w:eastAsia="宋体" w:cs="Times New Roman"/>
      <w:kern w:val="2"/>
      <w:sz w:val="32"/>
      <w:szCs w:val="24"/>
    </w:rPr>
  </w:style>
  <w:style w:type="character" w:customStyle="1" w:styleId="20">
    <w:name w:val="批注主题 字符"/>
    <w:basedOn w:val="19"/>
    <w:link w:val="10"/>
    <w:qFormat/>
    <w:uiPriority w:val="0"/>
    <w:rPr>
      <w:rFonts w:ascii="Times New Roman" w:hAnsi="Times New Roman" w:eastAsia="宋体" w:cs="Times New Roman"/>
      <w:b/>
      <w:bCs/>
      <w:kern w:val="2"/>
      <w:sz w:val="32"/>
      <w:szCs w:val="24"/>
    </w:rPr>
  </w:style>
  <w:style w:type="paragraph" w:customStyle="1" w:styleId="21">
    <w:name w:val="修订1"/>
    <w:hidden/>
    <w:semiHidden/>
    <w:qFormat/>
    <w:uiPriority w:val="99"/>
    <w:rPr>
      <w:rFonts w:ascii="Times New Roman" w:hAnsi="Times New Roman" w:eastAsia="宋体" w:cs="Times New Roman"/>
      <w:kern w:val="2"/>
      <w:sz w:val="32"/>
      <w:szCs w:val="24"/>
      <w:lang w:val="en-US" w:eastAsia="zh-CN" w:bidi="ar-SA"/>
    </w:rPr>
  </w:style>
  <w:style w:type="character" w:customStyle="1" w:styleId="22">
    <w:name w:val="批注框文本 字符"/>
    <w:basedOn w:val="13"/>
    <w:link w:val="6"/>
    <w:qFormat/>
    <w:uiPriority w:val="0"/>
    <w:rPr>
      <w:rFonts w:ascii="Times New Roman" w:hAnsi="Times New Roman" w:eastAsia="宋体" w:cs="Times New Roman"/>
      <w:kern w:val="2"/>
      <w:sz w:val="18"/>
      <w:szCs w:val="18"/>
    </w:rPr>
  </w:style>
  <w:style w:type="character" w:customStyle="1" w:styleId="23">
    <w:name w:val="日期 字符"/>
    <w:basedOn w:val="13"/>
    <w:link w:val="5"/>
    <w:qFormat/>
    <w:uiPriority w:val="0"/>
    <w:rPr>
      <w:rFonts w:ascii="Times New Roman" w:hAnsi="Times New Roman" w:eastAsia="宋体" w:cs="Times New Roman"/>
      <w:kern w:val="2"/>
      <w:sz w:val="32"/>
      <w:szCs w:val="24"/>
    </w:rPr>
  </w:style>
  <w:style w:type="character" w:customStyle="1" w:styleId="24">
    <w:name w:val="font31"/>
    <w:basedOn w:val="13"/>
    <w:qFormat/>
    <w:uiPriority w:val="0"/>
    <w:rPr>
      <w:rFonts w:ascii="方正书宋_GBK" w:hAnsi="方正书宋_GBK" w:eastAsia="方正书宋_GBK" w:cs="方正书宋_GBK"/>
      <w:color w:val="000000"/>
      <w:sz w:val="20"/>
      <w:szCs w:val="20"/>
      <w:u w:val="none"/>
    </w:rPr>
  </w:style>
  <w:style w:type="character" w:customStyle="1" w:styleId="25">
    <w:name w:val="font11"/>
    <w:basedOn w:val="13"/>
    <w:qFormat/>
    <w:uiPriority w:val="0"/>
    <w:rPr>
      <w:rFonts w:hint="eastAsia" w:ascii="黑体" w:hAnsi="宋体" w:eastAsia="黑体" w:cs="黑体"/>
      <w:color w:val="000000"/>
      <w:sz w:val="20"/>
      <w:szCs w:val="20"/>
      <w:u w:val="none"/>
    </w:rPr>
  </w:style>
  <w:style w:type="character" w:customStyle="1" w:styleId="26">
    <w:name w:val="font41"/>
    <w:basedOn w:val="1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1864</Words>
  <Characters>1946</Characters>
  <Lines>5</Lines>
  <Paragraphs>1</Paragraphs>
  <TotalTime>187</TotalTime>
  <ScaleCrop>false</ScaleCrop>
  <LinksUpToDate>false</LinksUpToDate>
  <CharactersWithSpaces>1950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2026-06-24T03:32:00Z</dcterms:created>
  <dc:creator>admin</dc:creator>
  <cp:lastModifiedBy>Study嗯</cp:lastModifiedBy>
  <cp:lastPrinted>2026-07-01T02:38:00Z</cp:lastPrinted>
  <dcterms:modified xsi:type="dcterms:W3CDTF">2026-10-12T01:30:02Z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A00AF338EF0541F2B2872765E0A01955_13</vt:lpwstr>
  </property>
  <property fmtid="{D5CDD505-2E9C-101B-9397-08002B2CF9AE}" pid="4" name="KSOTemplateDocerSaveRecord">
    <vt:lpwstr>eyJoZGlkIjoiZTQ2ZThiNzFjYTc2MWIwMTZjNzJjZGQxNWZkNTIxMzkiLCJ1c2VySWQiOiIzNTAyODEzOTcifQ==</vt:lpwstr>
  </property>
</Properties>
</file>