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44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关于做好2026年山东省乡村振兴科技创新提振行动计划项目申报工作的通知</w:t>
      </w:r>
    </w:p>
    <w:p w14:paraId="10CB2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26C48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鲁农科教字〔2026〕12号</w:t>
      </w:r>
    </w:p>
    <w:p w14:paraId="13103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各市农业农村局（畜牧兽医局）、财政局，沿海市渔业主管局，各有关单位：</w:t>
      </w:r>
    </w:p>
    <w:p w14:paraId="66F36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为贯彻落实省委、省政府关于加快建设更高水平的“齐鲁粮仓”、打造乡村振兴齐鲁样板、发展乡村富民产业的部署要求，进一步发挥省级财政资金引领作用，加快发展农业新质生产力，促进农业科技成果转化应用，省农业农村厅、省财政厅确定组织实施2026年山东省乡村振兴科技创新提振行动计划项目（以下简称提振项目）。现将有关事项通知如下。</w:t>
      </w:r>
    </w:p>
    <w:p w14:paraId="032E5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一、政策目标</w:t>
      </w:r>
    </w:p>
    <w:p w14:paraId="507FA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坚持目标导向、问题导向，突出产业和应用，以促进农业增效益、农村增活力、农民增收入为目标，聚力开展科技创新、技术集成和成果转化，加快新技术、新装备、新产品普及应用，有效提升农业科技创新的质量和效率，助力全省农业农村高质量发展。</w:t>
      </w:r>
    </w:p>
    <w:p w14:paraId="4B937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二、支持范围和内容</w:t>
      </w:r>
    </w:p>
    <w:p w14:paraId="4AA66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sz w:val="32"/>
          <w:szCs w:val="40"/>
        </w:rPr>
        <w:t>（一）重大成果应用类</w:t>
      </w:r>
    </w:p>
    <w:p w14:paraId="1CAC4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．小麦全产业链提质增效技术集成创新与示范推广。聚焦小麦品种、种植、加工、品牌全链条关键环节，针对良种良法配套不足、精深加工能力不强、全产业链技术集成度不高等问题，开展优良适用品种筛选、高产高效栽培技术集成创新、精深加工产品研发、副产物高值化综合利用与特色品牌培育；搭建“品种适配—高效种植—精深加工—产品销售”于一体的产业平台，提升小麦全产业链供应链的现代化水平和综合效益。</w:t>
      </w:r>
    </w:p>
    <w:p w14:paraId="00BB4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．主要设施果（蔬）提质增效关键技术集成创新与应用。围绕高投入、高产出、高效益，针对设施果（蔬）品种适配性不足、棚室环境调控粗放、土壤连作障碍突出、产品品质管控薄弱、轻简化机械化程度低、采后损耗高、产业链增值不足等问题，集成适配设施栽培的优质专用新品种、设施棚室智能光温水气肥协同调控、连作土壤障碍绿色修复、果（蔬）精准提质栽培、病虫害绿色防控、轻简机械化作业、采后分级保鲜与加工等重大技术成果；构建设施果（蔬）“适配专用品种—棚内智能调控一精准农事作业一品质定向提升一采后处理增值”一体化技术体系，形成标准化、智能化、可规模化推广的设施果（蔬）绿色高质高效生产整套解决方案。</w:t>
      </w:r>
    </w:p>
    <w:p w14:paraId="3D608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．经济型深远海养殖网箱研发与示范应用。围绕深远海鲑鳟鱼养殖需求，针对深远海养殖装备在迈向规模化、智能化过程中面临的安全性、经济性与适用性等瓶颈问题，集中攻关经济型网箱“装备一环境一生物”一体化设计建造、深远海陆海接力模式高效养殖等关键技术，构建深远海网箱智能管控系统，建立健全标准化养殖技术体系，形成绿色高效、可复制的产业示范模式，推动深远海养殖的绿色高质量发展。</w:t>
      </w:r>
    </w:p>
    <w:p w14:paraId="33F6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sz w:val="32"/>
          <w:szCs w:val="40"/>
        </w:rPr>
        <w:t>（二）关键技术产业化类</w:t>
      </w:r>
    </w:p>
    <w:p w14:paraId="5C530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．主要粮油作物抗逆减灾稳产增产关键技术集成创新和示范应用。针对极端气象灾害频发、严重威胁粮食安全生产的突出问题，开展主要粮油作物抗逆减灾技术集成示范，筛选优良适宜抗逆品种，集成创新极端气象灾害监测预警、高效栽培、机收减损、烘干仓储等方面的先进适用技术，降低灾害损失并挖掘产量潜力，打造可复制推广的主要粮油作物抗逆减灾稳产增产技术模式。</w:t>
      </w:r>
    </w:p>
    <w:p w14:paraId="668C2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．经济作物提质增效技术集成创新和示范应用。聚焦设施蔬菜、果品、食用菌、中药材、花卉等我省优势特色产业，针对设施设备、配套技术、精深加工等方面问题，开展关键技术集成创新和产业化应用。重点开展全产业链高质高效生产、设施设备迭代升级、病害高效检测和绿色防控等。</w:t>
      </w:r>
    </w:p>
    <w:p w14:paraId="25ACA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．畜禽智能绿色养殖关键技术集成创新与示范应用。聚焦畜禽养殖质量效益和竞争力，集成创新适应不同生产场景的技术体系，构建绿色智能高效生产模式。重点开展畜禽智能绿色养殖、畜禽疫病精准高效防治、人畜共患病防控、畜禽精准饲喂和高效繁育、畜禽产品全链条品质提升等。</w:t>
      </w:r>
    </w:p>
    <w:p w14:paraId="324FB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4．水产高效绿色养殖关键技术集成创新与示范应用。围绕水产高效健康养殖和智慧管理，开展技术集成创新和产业化应用，打造水产品养殖现代化应用场景。重点开展陆基工厂化智慧育养系统集成创新、海水养殖尾水资源化利用、优质特色水产品规模化养殖、水产品全值利用等。</w:t>
      </w:r>
    </w:p>
    <w:p w14:paraId="1E574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5．特色作物关键环节机具装备创新应用。以大田蔬菜、林果等特色作物机械化生产提质增效为重点，针对种植、田管、收获等生产环节专用机械缺乏、机具适配性差、作业效率低等问题，开展机械装备研发创新和中试熟化应用，构建机艺融合的机械化技术方案。</w:t>
      </w:r>
    </w:p>
    <w:p w14:paraId="2BA0B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6．农业新质生产力应用场景创新示范。聚焦农业产业科技创新前沿领域，以氢农业、人工智能＋农业、农业智能机器人、农业生物制造、绿色低碳循环农业等为重点，开展技术集成、场景创新和产业化示范，打造农业新质生产力典型应用场景。</w:t>
      </w:r>
    </w:p>
    <w:p w14:paraId="35C43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三、申报流程</w:t>
      </w:r>
    </w:p>
    <w:p w14:paraId="0A008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楷体" w:hAnsi="楷体" w:eastAsia="楷体" w:cs="楷体"/>
          <w:sz w:val="32"/>
          <w:szCs w:val="40"/>
        </w:rPr>
        <w:t>（一）申报主体。</w:t>
      </w:r>
    </w:p>
    <w:p w14:paraId="42A2D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按照“牵头单位申报、市级推荐、省级评审”的程序开展项目申报工作。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关键技术产业化类第1项可由科研院所、高等院校、企业、农技推广机构等单位牵头申报</w:t>
      </w:r>
      <w:r>
        <w:rPr>
          <w:rFonts w:hint="eastAsia" w:ascii="仿宋" w:hAnsi="仿宋" w:eastAsia="仿宋" w:cs="仿宋"/>
          <w:sz w:val="32"/>
          <w:szCs w:val="40"/>
        </w:rPr>
        <w:t>，其余项目的其他方向均须由企业牵头申报。鼓励科技企业、科研院所、高等院校、农技推广机构等单位联合实施。实施周期原则上为3年，实施期截至2029年12月31日。牵头申报单位的申报条件详见附件。</w:t>
      </w:r>
    </w:p>
    <w:p w14:paraId="3F0681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kern w:val="2"/>
          <w:sz w:val="32"/>
          <w:szCs w:val="40"/>
          <w:lang w:val="en-US" w:eastAsia="zh-CN" w:bidi="ar-SA"/>
        </w:rPr>
        <w:t>（二）</w:t>
      </w:r>
      <w:r>
        <w:rPr>
          <w:rFonts w:hint="eastAsia" w:ascii="楷体" w:hAnsi="楷体" w:eastAsia="楷体" w:cs="楷体"/>
          <w:sz w:val="32"/>
          <w:szCs w:val="40"/>
        </w:rPr>
        <w:t>市级推荐。</w:t>
      </w:r>
    </w:p>
    <w:p w14:paraId="43531F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企业、地方科研院校和农技推广单位牵头申报的项目，以所在市农业农村部门为主管部门（沿海市渔业主管部门负责当地水产类项目的组织申报，并推荐至所在市农业农村部门），经商市财政部门后，推荐到省农业农村厅。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省属科研院所、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高等院校、农技推广单位牵头申报的项目，由所在独立法人单位审核、盖章同意后直接推荐到省农业农村厅。</w:t>
      </w:r>
      <w:r>
        <w:rPr>
          <w:rFonts w:hint="eastAsia" w:ascii="仿宋" w:hAnsi="仿宋" w:eastAsia="仿宋" w:cs="仿宋"/>
          <w:sz w:val="32"/>
          <w:szCs w:val="40"/>
        </w:rPr>
        <w:t>各市推荐名额见附件2。</w:t>
      </w:r>
    </w:p>
    <w:p w14:paraId="6421D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kern w:val="2"/>
          <w:sz w:val="32"/>
          <w:szCs w:val="40"/>
          <w:lang w:val="en-US" w:eastAsia="zh-CN" w:bidi="ar-SA"/>
        </w:rPr>
        <w:t>（三）</w:t>
      </w:r>
      <w:r>
        <w:rPr>
          <w:rFonts w:hint="eastAsia" w:ascii="楷体" w:hAnsi="楷体" w:eastAsia="楷体" w:cs="楷体"/>
          <w:sz w:val="32"/>
          <w:szCs w:val="40"/>
        </w:rPr>
        <w:t>省级评审。</w:t>
      </w:r>
    </w:p>
    <w:p w14:paraId="29ABE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省农业农村厅牵头组织专家评审，综合申报材料和企业实际情况，提出评审结果建议，按照程序确定项目支持名单。</w:t>
      </w:r>
    </w:p>
    <w:p w14:paraId="1D232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四、工作要求</w:t>
      </w:r>
    </w:p>
    <w:p w14:paraId="3DDB9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sz w:val="32"/>
          <w:szCs w:val="40"/>
        </w:rPr>
        <w:t>（一）严格组织申报和审核。</w:t>
      </w:r>
    </w:p>
    <w:p w14:paraId="567C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实施乡村振兴科技创新提振行动计划，是推动农业科技创新、促进成果大面积转化应用的重要手段。各市、各有关单位要认真对照申报条件和要求，压实审核责任，对申报主体资质、项目内容合规性、材料完整性逐一核验把关，严禁多头申报、重复申报，确保申报工作规范有序开展。各市、各有关单位汇总申报材料，于9月3日17：00前将纸质申报材料（附件3－6，分别装订，一式一份）邮寄至省农业农村厅，盖章扫描PDF版（汇总表电子版）同步发送至指定邮箱。以邮寄时间为准，逾期不予受理。</w:t>
      </w:r>
    </w:p>
    <w:p w14:paraId="427345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kern w:val="2"/>
          <w:sz w:val="32"/>
          <w:szCs w:val="40"/>
          <w:lang w:val="en-US" w:eastAsia="zh-CN" w:bidi="ar-SA"/>
        </w:rPr>
        <w:t>（二）</w:t>
      </w:r>
      <w:r>
        <w:rPr>
          <w:rFonts w:hint="eastAsia" w:ascii="楷体" w:hAnsi="楷体" w:eastAsia="楷体" w:cs="楷体"/>
          <w:sz w:val="32"/>
          <w:szCs w:val="40"/>
        </w:rPr>
        <w:t>强化全流程闭环管理。</w:t>
      </w:r>
    </w:p>
    <w:p w14:paraId="27A06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各市农业农村部门会同财政部门按照职责分工，强化后续项目实施建设、资金使用等重点环节的监督管理，发现问题及时督促整改，按时组织开展绩效评价，强化绩效评价结果应用，切实提高财政资金使用效益。</w:t>
      </w:r>
    </w:p>
    <w:p w14:paraId="1DFCC2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40"/>
        </w:rPr>
      </w:pPr>
      <w:r>
        <w:rPr>
          <w:rFonts w:hint="eastAsia" w:ascii="楷体" w:hAnsi="楷体" w:eastAsia="楷体" w:cs="楷体"/>
          <w:kern w:val="2"/>
          <w:sz w:val="32"/>
          <w:szCs w:val="40"/>
          <w:lang w:val="en-US" w:eastAsia="zh-CN" w:bidi="ar-SA"/>
        </w:rPr>
        <w:t>（三）</w:t>
      </w:r>
      <w:r>
        <w:rPr>
          <w:rFonts w:hint="eastAsia" w:ascii="楷体" w:hAnsi="楷体" w:eastAsia="楷体" w:cs="楷体"/>
          <w:sz w:val="32"/>
          <w:szCs w:val="40"/>
        </w:rPr>
        <w:t>从严把控项目质量。</w:t>
      </w:r>
    </w:p>
    <w:p w14:paraId="050AA4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申报单位对申报材料的真实性、完整性、合规性负责，应自觉接受审计、财政、农业农村部门的监督检查和绩效评价。对存在弄虚作假、骗取、截留、挪用、挤占资金等违规行为的，将按照有关法律、法规严肃处理。</w:t>
      </w:r>
    </w:p>
    <w:p w14:paraId="1ECDB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五、联系方式</w:t>
      </w:r>
    </w:p>
    <w:p w14:paraId="643D5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省农业农村厅</w:t>
      </w:r>
    </w:p>
    <w:p w14:paraId="127FC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联 系 人：渠通洋</w:t>
      </w:r>
    </w:p>
    <w:p w14:paraId="0895E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联系电话：0531－51789251</w:t>
      </w:r>
    </w:p>
    <w:p w14:paraId="68896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邮寄地址：济南市历下区十亩园东街7号省农业农村厅528房间</w:t>
      </w:r>
    </w:p>
    <w:p w14:paraId="450D0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电子邮箱：sdkjrh＠shandong.cn</w:t>
      </w:r>
    </w:p>
    <w:p w14:paraId="7F63E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7DFA0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省财政厅</w:t>
      </w:r>
    </w:p>
    <w:p w14:paraId="48A2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联 系 人：杨奎江</w:t>
      </w:r>
    </w:p>
    <w:p w14:paraId="1D25F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联系电话：0531－51769981</w:t>
      </w:r>
    </w:p>
    <w:p w14:paraId="2ACB8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06B0F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　　　山东省农业农村厅　山东省财政厅  　　　</w:t>
      </w:r>
    </w:p>
    <w:p w14:paraId="2356A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2026年8月18日 </w:t>
      </w:r>
    </w:p>
    <w:p w14:paraId="07981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4D87F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060CD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0EBBF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7773E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60B72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40"/>
        </w:rPr>
      </w:pPr>
    </w:p>
    <w:p w14:paraId="3B3FB018">
      <w:pPr>
        <w:rPr>
          <w:rFonts w:hint="eastAsia" w:ascii="仿宋" w:hAnsi="仿宋" w:eastAsia="仿宋" w:cs="仿宋"/>
          <w:sz w:val="32"/>
          <w:szCs w:val="40"/>
        </w:rPr>
      </w:pP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FC48FC-F7D0-4FB4-8809-A5FAA3AC9B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2D3E64A-0830-439F-8975-78687E94F99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E0D1A43-F8FC-4276-98CE-74F3460AA2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322BE0A-6FC9-4AB9-BE00-5CFA5E997D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1D4E43"/>
    <w:rsid w:val="60C741CA"/>
    <w:rsid w:val="66D22F19"/>
    <w:rsid w:val="6B057939"/>
    <w:rsid w:val="71D041A8"/>
    <w:rsid w:val="78485296"/>
    <w:rsid w:val="7DB9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2776</Words>
  <Characters>2837</Characters>
  <Lines>0</Lines>
  <Paragraphs>0</Paragraphs>
  <TotalTime>10</TotalTime>
  <ScaleCrop>false</ScaleCrop>
  <LinksUpToDate>false</LinksUpToDate>
  <CharactersWithSpaces>2844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2026-07-13T01:43:00Z</dcterms:created>
  <dc:creator>15064</dc:creator>
  <cp:lastModifiedBy>15165053076</cp:lastModifiedBy>
  <dcterms:modified xsi:type="dcterms:W3CDTF">2026-08-22T07:33:06Z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eyJoZGlkIjoiODZlOGY5YTI2NjIxMTQ3NzM3N2IyN2Y2OWRhZTIzMWQiLCJ1c2VySWQiOiIxNjMzMDcxMDkzIn0=</vt:lpwstr>
  </property>
  <property fmtid="{D5CDD505-2E9C-101B-9397-08002B2CF9AE}" pid="4" name="ICV">
    <vt:lpwstr>7410EAF627DF42F788E897B44B79EA56_12</vt:lpwstr>
  </property>
</Properties>
</file>