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06B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关于申报2026年度济宁市社科规划“儒商文化与新时代生态文明建设研究”合作专项的通知</w:t>
      </w:r>
    </w:p>
    <w:p w14:paraId="6F6CF88F">
      <w:pPr>
        <w:jc w:val="center"/>
        <w:rPr>
          <w:rFonts w:hint="eastAsia" w:ascii="仿宋" w:hAnsi="仿宋" w:eastAsia="仿宋" w:cs="仿宋"/>
          <w:sz w:val="32"/>
          <w:szCs w:val="40"/>
        </w:rPr>
      </w:pPr>
    </w:p>
    <w:p w14:paraId="7772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各有关单位：</w:t>
      </w:r>
    </w:p>
    <w:p w14:paraId="5A67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深入贯彻落实党的二十届四中全会精神，深刻理解和把握习近平生态文明思想的理论内涵和实践意蕴，引领全市社科工作者深度挖掘儒家生态智慧，促进儒商精神与绿色发展理念深度融合，经研究，济宁市社科联与济宁学院决定联合设立2026年度济宁市社科规划“儒商文化与新时代生态文明建设研究”合作专项，努力推出一批高质量研究成果，以期为美丽济宁建设提供坚实的学理支撑与智力支持。现将有关事项通知如下：</w:t>
      </w:r>
    </w:p>
    <w:p w14:paraId="0C1AB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一、选题方向</w:t>
      </w:r>
    </w:p>
    <w:p w14:paraId="32D2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年度专项拟设立重点课题10项，每项资助经费0.2万元；另设自筹课题若干项，无经费资助。申报选题分为方向性选题和具体选题（带*）两类。申请人申报方向性选题，可结合自身研究基础与学术视角，自主设计具体题目进行申报；申报具体选题（带*）的，原则上须按原题申报，如确有需要可进行适当微调，但不得大幅缩减或偏离既定研究内容。</w:t>
      </w:r>
    </w:p>
    <w:p w14:paraId="7FA7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（一）方向性选题</w:t>
      </w:r>
    </w:p>
    <w:p w14:paraId="4A27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1.儒家思想与现代企业绿色供应链全生命周期管理研究</w:t>
      </w:r>
    </w:p>
    <w:p w14:paraId="457D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2.儒商精神引领的企业循环经济模式与资源效率提升路径研究</w:t>
      </w:r>
    </w:p>
    <w:p w14:paraId="56E0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3.现代儒商生态德性的内涵建构、培育机制与企业绿色发展效能研究</w:t>
      </w:r>
    </w:p>
    <w:p w14:paraId="51E8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4.驱动企业生态责任内生化的制度构建与效能评估研究</w:t>
      </w:r>
    </w:p>
    <w:p w14:paraId="3A5D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5.面向“洗绿”与伪儒商行为的企业环境社会诚信治理机制研究</w:t>
      </w:r>
    </w:p>
    <w:p w14:paraId="24421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6.基于儒家生态位思维的企业协同共生模式与可持续竞争优势研究</w:t>
      </w:r>
    </w:p>
    <w:p w14:paraId="2926F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7.基于儒家经济伦理的企业长期价值导向生态绩效治理框架研究</w:t>
      </w:r>
    </w:p>
    <w:p w14:paraId="00C65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8.儒商社会责任视域下的社区共生实践与绿色品牌叙事建构研究</w:t>
      </w:r>
    </w:p>
    <w:p w14:paraId="7042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9.儒家生态智慧与企业科技创新的融合模式研究</w:t>
      </w:r>
    </w:p>
    <w:p w14:paraId="578B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10.儒家义利观视域下企业短视行为的文化成因、治理失灵与系统矫正研究</w:t>
      </w:r>
    </w:p>
    <w:p w14:paraId="3C3A5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（二）具体选题</w:t>
      </w:r>
    </w:p>
    <w:p w14:paraId="2958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1.生态文明时代企业安身立命的根本问题与儒家智慧回应研究*</w:t>
      </w:r>
    </w:p>
    <w:p w14:paraId="3FD3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2.儒家思想的核心义利观及其历史实践镜鉴研究*</w:t>
      </w:r>
    </w:p>
    <w:p w14:paraId="6510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3.现代企业生态实践中义利失衡的表现、根源与矛盾剖析*</w:t>
      </w:r>
    </w:p>
    <w:p w14:paraId="04001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4.基于天人合一理念的企业生态转型战略重构路径研究*</w:t>
      </w:r>
    </w:p>
    <w:p w14:paraId="439D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5.仁民爱物理念融入现代公司治理结构与ESG制度的创新研究*</w:t>
      </w:r>
    </w:p>
    <w:p w14:paraId="421ED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6.儒家思想指导下的企业绿色运营体系再造研究*</w:t>
      </w:r>
    </w:p>
    <w:p w14:paraId="70F2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7.培育企业生态人格的组织文化涵养机制研究*</w:t>
      </w:r>
    </w:p>
    <w:p w14:paraId="622A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8.儒家生态智慧引领企业转型的典型案例与共性成功机制研究*</w:t>
      </w:r>
    </w:p>
    <w:p w14:paraId="164E9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9.生态儒商新主体的内涵、培育路径及其对中国式现代化的贡献研究*</w:t>
      </w:r>
    </w:p>
    <w:p w14:paraId="2DC3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10.儒家关系性共生智慧对全球商业伦理与绿色治理的启示研究*</w:t>
      </w:r>
    </w:p>
    <w:p w14:paraId="6DF2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二、申报条件</w:t>
      </w:r>
    </w:p>
    <w:p w14:paraId="29517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（一）申请人需具备以下条件：</w:t>
      </w:r>
    </w:p>
    <w:p w14:paraId="05FF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1.坚持以习近平新时代中国特色社会主义思想为指导，坚决拥护“两个确立”，增强“四个意识”、坚定“四个自信”、做到“两个维护”;</w:t>
      </w:r>
    </w:p>
    <w:p w14:paraId="65E24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2.遵守国家的宪法和法律；</w:t>
      </w:r>
    </w:p>
    <w:p w14:paraId="69BE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3.坚持正确的政治方向、价值取向和学术导向，注重科研诚信，确保无知识产权争议，无弄虚作假、抄袭剽窃等行为。</w:t>
      </w:r>
    </w:p>
    <w:p w14:paraId="1668E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（二）推荐单位应符合以下条件：</w:t>
      </w:r>
    </w:p>
    <w:p w14:paraId="0372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1.在相关领域具有较雄厚的学术资源和研究实力；</w:t>
      </w:r>
    </w:p>
    <w:p w14:paraId="631C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2.能够提供开展研究工作的必要条件；</w:t>
      </w:r>
    </w:p>
    <w:p w14:paraId="0FB1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3.对申请书进行全面审核、统一提交，对申请人的业务能力、科研条件等签署明确意见和信誉保证。</w:t>
      </w:r>
    </w:p>
    <w:p w14:paraId="6244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三、申报事项</w:t>
      </w:r>
    </w:p>
    <w:p w14:paraId="54BF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（一）申报时间</w:t>
      </w:r>
    </w:p>
    <w:p w14:paraId="779C4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集中受理时间为2026年3月17日至3月31日，逾期不予受理。纸质材料以寄出地邮戳时间为准。</w:t>
      </w:r>
    </w:p>
    <w:p w14:paraId="2D01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（二）申报要求</w:t>
      </w:r>
    </w:p>
    <w:p w14:paraId="26CF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1.每项课题的负责人原则上是1人，课题组成员不超过5人；</w:t>
      </w:r>
    </w:p>
    <w:p w14:paraId="48CBB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2.课题负责人限申报1项主持课题，且最多可作为课题组成员参与申报其他1项课题。</w:t>
      </w:r>
    </w:p>
    <w:p w14:paraId="77BAF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3.课题负责人及成员，不得以内容相同或相近的选题进行多头申报；凡已获得其他资助的课题，亦不得再次申报。</w:t>
      </w:r>
    </w:p>
    <w:p w14:paraId="367D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（三）材料要求</w:t>
      </w:r>
    </w:p>
    <w:p w14:paraId="59B7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纸质版由推荐单位集中报送。《申请书》（附件1）须A4纸双面印刷，左侧装订，页数不限，一式3份，其中1份匿名；《汇总表》（附件2）须填写项目推荐单位名称并加盖公章，A4纸双面印刷，页数、装订形式不限，一式1份。</w:t>
      </w:r>
    </w:p>
    <w:p w14:paraId="02FFA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纸质版报送地址：济宁学院（曲阜市杏坛路1号）行政楼B218。</w:t>
      </w:r>
    </w:p>
    <w:p w14:paraId="28D5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2.课题申报材料须同步提交电子版，且与纸质版内容完全一致。电子版请以 Word 文档格式制作，并在报送纸质材料时，同步发送至指定邮箱：rswh2025@163.com。</w:t>
      </w:r>
    </w:p>
    <w:p w14:paraId="504E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联系人：高尚君17562711221；徐琦 2967612。</w:t>
      </w:r>
    </w:p>
    <w:p w14:paraId="30B5B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四、结项要求</w:t>
      </w:r>
    </w:p>
    <w:p w14:paraId="74689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1.济宁市社科联与济宁学院共同组织专家集中鉴定结项。</w:t>
      </w:r>
    </w:p>
    <w:p w14:paraId="67FCF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2.课题结项形式为研究报告，字数2万字以上，同时提交查重报告，重复率不得超过15%。</w:t>
      </w:r>
    </w:p>
    <w:p w14:paraId="7ED9E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3.本次重点课题采用后期资助方式，即课题经审核验收、正式结项后，资助经费予以一次性拨付。</w:t>
      </w:r>
    </w:p>
    <w:p w14:paraId="4749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4.课题研究时限自正式立项之日起至9月30日内完成，延期即作废。</w:t>
      </w:r>
    </w:p>
    <w:p w14:paraId="6349E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5.本次研究专项接受省外申报。</w:t>
      </w:r>
    </w:p>
    <w:p w14:paraId="0D590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4699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附件1.济宁市社会科学规划研究项目申请书</w:t>
      </w:r>
    </w:p>
    <w:p w14:paraId="38194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附件2.济宁市社会科学规划项目申报汇总表</w:t>
      </w:r>
      <w:bookmarkStart w:id="0" w:name="_GoBack"/>
      <w:bookmarkEnd w:id="0"/>
    </w:p>
    <w:p w14:paraId="45C48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2305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456F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6593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济宁市社会科学界联合会</w:t>
      </w:r>
    </w:p>
    <w:p w14:paraId="4D03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2026年1月28日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229FF"/>
    <w:rsid w:val="33F46B2D"/>
    <w:rsid w:val="46A95187"/>
    <w:rsid w:val="504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1987</Words>
  <Characters>2102</Characters>
  <Lines>0</Lines>
  <Paragraphs>0</Paragraphs>
  <TotalTime>9</TotalTime>
  <ScaleCrop>false</ScaleCrop>
  <LinksUpToDate>false</LinksUpToDate>
  <CharactersWithSpaces>2110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2026-03-27T01:40:00Z</dcterms:created>
  <dc:creator>QIT</dc:creator>
  <cp:lastModifiedBy>空岛空心</cp:lastModifiedBy>
  <dcterms:modified xsi:type="dcterms:W3CDTF">2026-03-27T01:51:16Z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eyJoZGlkIjoiZmRjOTI5ODUxZGM1Y2E5YjgyNzBkYjdhMmEyMjhiZTAiLCJ1c2VySWQiOiIzMjI5NzUwOTIifQ==</vt:lpwstr>
  </property>
  <property fmtid="{D5CDD505-2E9C-101B-9397-08002B2CF9AE}" pid="4" name="ICV">
    <vt:lpwstr>3D1415F4890B42A3886A5AAE63BAA3C3_12</vt:lpwstr>
  </property>
</Properties>
</file>